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86697" w14:textId="77777777" w:rsidR="00E4296B" w:rsidRDefault="00000000">
      <w:pPr>
        <w:spacing w:after="0" w:line="240" w:lineRule="auto"/>
        <w:ind w:right="101"/>
        <w:jc w:val="right"/>
        <w:rPr>
          <w:rFonts w:ascii="Times New Roman" w:eastAsia="Times New Roman" w:hAnsi="Times New Roman" w:cs="Times New Roman"/>
          <w:b/>
          <w:sz w:val="24"/>
          <w:szCs w:val="24"/>
        </w:rPr>
        <w:sectPr w:rsidR="00E4296B" w:rsidSect="002A3766">
          <w:footerReference w:type="default" r:id="rId8"/>
          <w:pgSz w:w="12240" w:h="15840"/>
          <w:pgMar w:top="1440" w:right="1440" w:bottom="1440" w:left="1440" w:header="720" w:footer="720" w:gutter="0"/>
          <w:pgNumType w:start="35"/>
          <w:cols w:space="720"/>
        </w:sectPr>
      </w:pPr>
      <w:bookmarkStart w:id="0" w:name="_heading=h.gjdgxs" w:colFirst="0" w:colLast="0"/>
      <w:bookmarkEnd w:id="0"/>
      <w:r>
        <w:rPr>
          <w:rFonts w:ascii="Corsiva" w:eastAsia="Corsiva" w:hAnsi="Corsiva" w:cs="Corsiva"/>
          <w:b/>
          <w:i/>
          <w:noProof/>
          <w:color w:val="0070C0"/>
          <w:sz w:val="72"/>
          <w:szCs w:val="72"/>
        </w:rPr>
        <w:drawing>
          <wp:inline distT="0" distB="0" distL="0" distR="0" wp14:anchorId="60BC7A56" wp14:editId="39AE3153">
            <wp:extent cx="1234726" cy="499111"/>
            <wp:effectExtent l="0" t="0" r="0" b="0"/>
            <wp:docPr id="7597121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1234726" cy="499111"/>
                    </a:xfrm>
                    <a:prstGeom prst="rect">
                      <a:avLst/>
                    </a:prstGeom>
                    <a:ln/>
                  </pic:spPr>
                </pic:pic>
              </a:graphicData>
            </a:graphic>
          </wp:inline>
        </w:drawing>
      </w:r>
    </w:p>
    <w:p w14:paraId="0E046F86" w14:textId="77777777" w:rsidR="00E4296B" w:rsidRDefault="00E4296B">
      <w:pPr>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
        <w:tblpPr w:leftFromText="180" w:rightFromText="180" w:vertAnchor="text" w:tblpX="146" w:tblpY="19"/>
        <w:tblW w:w="9214" w:type="dxa"/>
        <w:tblBorders>
          <w:top w:val="nil"/>
          <w:left w:val="nil"/>
          <w:bottom w:val="nil"/>
          <w:right w:val="nil"/>
          <w:insideH w:val="nil"/>
          <w:insideV w:val="nil"/>
        </w:tblBorders>
        <w:tblLayout w:type="fixed"/>
        <w:tblLook w:val="0400" w:firstRow="0" w:lastRow="0" w:firstColumn="0" w:lastColumn="0" w:noHBand="0" w:noVBand="1"/>
      </w:tblPr>
      <w:tblGrid>
        <w:gridCol w:w="2410"/>
        <w:gridCol w:w="6804"/>
      </w:tblGrid>
      <w:tr w:rsidR="00E4296B" w14:paraId="559BB2F2" w14:textId="77777777">
        <w:tc>
          <w:tcPr>
            <w:tcW w:w="2410" w:type="dxa"/>
          </w:tcPr>
          <w:p w14:paraId="5B3711CA" w14:textId="77777777" w:rsidR="00E4296B" w:rsidRDefault="00000000">
            <w:pPr>
              <w:spacing w:line="240" w:lineRule="auto"/>
              <w:ind w:right="101"/>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E-ISSN : 2798-1452</w:t>
            </w:r>
          </w:p>
        </w:tc>
        <w:tc>
          <w:tcPr>
            <w:tcW w:w="6804" w:type="dxa"/>
          </w:tcPr>
          <w:p w14:paraId="6AB24F5E" w14:textId="77777777" w:rsidR="00E4296B" w:rsidRDefault="00000000">
            <w:pPr>
              <w:spacing w:line="240" w:lineRule="auto"/>
              <w:ind w:left="993"/>
              <w:jc w:val="right"/>
              <w:rPr>
                <w:rFonts w:ascii="Bookman Old Style" w:eastAsia="Bookman Old Style" w:hAnsi="Bookman Old Style" w:cs="Bookman Old Style"/>
              </w:rPr>
            </w:pPr>
            <w:r>
              <w:rPr>
                <w:rFonts w:ascii="Bookman Old Style" w:eastAsia="Bookman Old Style" w:hAnsi="Bookman Old Style" w:cs="Bookman Old Style"/>
                <w:color w:val="000000"/>
              </w:rPr>
              <w:t>Jurnal Pastoral Konseling</w:t>
            </w:r>
          </w:p>
        </w:tc>
      </w:tr>
      <w:tr w:rsidR="00E4296B" w14:paraId="0A92CDBC" w14:textId="77777777">
        <w:tc>
          <w:tcPr>
            <w:tcW w:w="2410" w:type="dxa"/>
          </w:tcPr>
          <w:p w14:paraId="512CDA09" w14:textId="77777777" w:rsidR="00E4296B" w:rsidRDefault="00000000">
            <w:pPr>
              <w:spacing w:line="240" w:lineRule="auto"/>
              <w:ind w:right="101"/>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P-ISSN : 2798-1460</w:t>
            </w:r>
          </w:p>
        </w:tc>
        <w:tc>
          <w:tcPr>
            <w:tcW w:w="6804" w:type="dxa"/>
          </w:tcPr>
          <w:p w14:paraId="40B5693B" w14:textId="5362ED40" w:rsidR="00E4296B" w:rsidRDefault="00000000">
            <w:pPr>
              <w:spacing w:line="240" w:lineRule="auto"/>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Available Online at Vol. </w:t>
            </w:r>
            <w:r w:rsidR="00656E81">
              <w:rPr>
                <w:rFonts w:ascii="Bookman Old Style" w:eastAsia="Bookman Old Style" w:hAnsi="Bookman Old Style" w:cs="Bookman Old Style"/>
                <w:color w:val="000000"/>
              </w:rPr>
              <w:t>4</w:t>
            </w:r>
            <w:r>
              <w:rPr>
                <w:rFonts w:ascii="Bookman Old Style" w:eastAsia="Bookman Old Style" w:hAnsi="Bookman Old Style" w:cs="Bookman Old Style"/>
                <w:color w:val="000000"/>
              </w:rPr>
              <w:t xml:space="preserve"> No. </w:t>
            </w:r>
            <w:r w:rsidR="00656E81">
              <w:rPr>
                <w:rFonts w:ascii="Bookman Old Style" w:eastAsia="Bookman Old Style" w:hAnsi="Bookman Old Style" w:cs="Bookman Old Style"/>
                <w:color w:val="000000"/>
              </w:rPr>
              <w:t>1</w:t>
            </w:r>
            <w:r>
              <w:rPr>
                <w:rFonts w:ascii="Bookman Old Style" w:eastAsia="Bookman Old Style" w:hAnsi="Bookman Old Style" w:cs="Bookman Old Style"/>
                <w:color w:val="000000"/>
              </w:rPr>
              <w:t xml:space="preserve"> (Juni): </w:t>
            </w:r>
            <w:r w:rsidR="00575BAC">
              <w:rPr>
                <w:rFonts w:ascii="Bookman Old Style" w:eastAsia="Bookman Old Style" w:hAnsi="Bookman Old Style" w:cs="Bookman Old Style"/>
                <w:color w:val="000000"/>
              </w:rPr>
              <w:t>35-</w:t>
            </w:r>
            <w:r w:rsidR="00656E81">
              <w:rPr>
                <w:rFonts w:ascii="Bookman Old Style" w:eastAsia="Bookman Old Style" w:hAnsi="Bookman Old Style" w:cs="Bookman Old Style"/>
                <w:color w:val="000000"/>
              </w:rPr>
              <w:t>50</w:t>
            </w:r>
          </w:p>
        </w:tc>
      </w:tr>
      <w:tr w:rsidR="00E4296B" w14:paraId="2C2F504D" w14:textId="77777777">
        <w:tc>
          <w:tcPr>
            <w:tcW w:w="9214" w:type="dxa"/>
            <w:gridSpan w:val="2"/>
          </w:tcPr>
          <w:p w14:paraId="3CEB5BD8" w14:textId="77777777" w:rsidR="00E4296B" w:rsidRDefault="00000000">
            <w:pPr>
              <w:spacing w:line="240" w:lineRule="auto"/>
              <w:jc w:val="right"/>
              <w:rPr>
                <w:rFonts w:ascii="Bookman Old Style" w:eastAsia="Bookman Old Style" w:hAnsi="Bookman Old Style" w:cs="Bookman Old Style"/>
                <w:color w:val="000000"/>
              </w:rPr>
            </w:pPr>
            <w:r>
              <w:rPr>
                <w:rFonts w:ascii="Bookman Old Style" w:eastAsia="Bookman Old Style" w:hAnsi="Bookman Old Style" w:cs="Bookman Old Style"/>
                <w:color w:val="000000"/>
              </w:rPr>
              <w:t>https://ejournal.iaknkupang.ac.id/ojs/index.php/rah/</w:t>
            </w:r>
          </w:p>
        </w:tc>
      </w:tr>
    </w:tbl>
    <w:p w14:paraId="2E2863DA" w14:textId="77777777" w:rsidR="00E4296B" w:rsidRDefault="00000000">
      <w:pPr>
        <w:spacing w:after="0" w:line="240" w:lineRule="auto"/>
        <w:ind w:left="993" w:right="101"/>
        <w:rPr>
          <w:rFonts w:ascii="Times New Roman" w:eastAsia="Times New Roman" w:hAnsi="Times New Roman" w:cs="Times New Roman"/>
          <w:b/>
          <w:sz w:val="24"/>
          <w:szCs w:val="24"/>
        </w:rPr>
      </w:pPr>
      <w:r>
        <w:rPr>
          <w:noProof/>
        </w:rPr>
        <mc:AlternateContent>
          <mc:Choice Requires="wps">
            <w:drawing>
              <wp:anchor distT="0" distB="0" distL="114300" distR="114300" simplePos="0" relativeHeight="251658240" behindDoc="0" locked="0" layoutInCell="1" hidden="0" allowOverlap="1" wp14:anchorId="6AA70F32" wp14:editId="25FEED66">
                <wp:simplePos x="0" y="0"/>
                <wp:positionH relativeFrom="column">
                  <wp:posOffset>38101</wp:posOffset>
                </wp:positionH>
                <wp:positionV relativeFrom="paragraph">
                  <wp:posOffset>546100</wp:posOffset>
                </wp:positionV>
                <wp:extent cx="0" cy="19050"/>
                <wp:effectExtent l="0" t="0" r="0" b="0"/>
                <wp:wrapNone/>
                <wp:docPr id="759712148" name="Straight Arrow Connector 759712148"/>
                <wp:cNvGraphicFramePr/>
                <a:graphic xmlns:a="http://schemas.openxmlformats.org/drawingml/2006/main">
                  <a:graphicData uri="http://schemas.microsoft.com/office/word/2010/wordprocessingShape">
                    <wps:wsp>
                      <wps:cNvCnPr/>
                      <wps:spPr>
                        <a:xfrm>
                          <a:off x="2394000" y="3780000"/>
                          <a:ext cx="5904000" cy="0"/>
                        </a:xfrm>
                        <a:prstGeom prst="straightConnector1">
                          <a:avLst/>
                        </a:prstGeom>
                        <a:noFill/>
                        <a:ln w="19050" cap="flat" cmpd="sng">
                          <a:solidFill>
                            <a:srgbClr val="0070C0"/>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38101</wp:posOffset>
                </wp:positionH>
                <wp:positionV relativeFrom="paragraph">
                  <wp:posOffset>546100</wp:posOffset>
                </wp:positionV>
                <wp:extent cx="0" cy="19050"/>
                <wp:effectExtent b="0" l="0" r="0" t="0"/>
                <wp:wrapNone/>
                <wp:docPr id="75971214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0" cy="19050"/>
                        </a:xfrm>
                        <a:prstGeom prst="rect"/>
                        <a:ln/>
                      </pic:spPr>
                    </pic:pic>
                  </a:graphicData>
                </a:graphic>
              </wp:anchor>
            </w:drawing>
          </mc:Fallback>
        </mc:AlternateContent>
      </w:r>
    </w:p>
    <w:p w14:paraId="5E8B7FC7" w14:textId="77777777" w:rsidR="00E4296B" w:rsidRDefault="00E4296B">
      <w:pPr>
        <w:spacing w:after="0" w:line="240" w:lineRule="auto"/>
        <w:ind w:left="993" w:right="101"/>
        <w:rPr>
          <w:rFonts w:ascii="Times New Roman" w:eastAsia="Times New Roman" w:hAnsi="Times New Roman" w:cs="Times New Roman"/>
          <w:b/>
          <w:sz w:val="24"/>
          <w:szCs w:val="24"/>
        </w:rPr>
      </w:pPr>
    </w:p>
    <w:p w14:paraId="28B1F07A" w14:textId="77777777" w:rsidR="00E4296B" w:rsidRDefault="00E4296B">
      <w:pPr>
        <w:spacing w:after="0" w:line="240" w:lineRule="auto"/>
        <w:ind w:left="993" w:right="101"/>
        <w:rPr>
          <w:rFonts w:ascii="Times New Roman" w:eastAsia="Times New Roman" w:hAnsi="Times New Roman" w:cs="Times New Roman"/>
          <w:b/>
          <w:sz w:val="24"/>
          <w:szCs w:val="24"/>
        </w:rPr>
      </w:pPr>
    </w:p>
    <w:p w14:paraId="4D634379" w14:textId="77777777" w:rsidR="00E4296B" w:rsidRDefault="00E4296B">
      <w:pPr>
        <w:spacing w:after="0" w:line="240" w:lineRule="auto"/>
        <w:ind w:left="993" w:right="101"/>
        <w:rPr>
          <w:rFonts w:ascii="Times New Roman" w:eastAsia="Times New Roman" w:hAnsi="Times New Roman" w:cs="Times New Roman"/>
          <w:b/>
          <w:sz w:val="24"/>
          <w:szCs w:val="24"/>
        </w:rPr>
        <w:sectPr w:rsidR="00E4296B">
          <w:type w:val="continuous"/>
          <w:pgSz w:w="12240" w:h="15840"/>
          <w:pgMar w:top="1440" w:right="1440" w:bottom="1440" w:left="1440" w:header="720" w:footer="720" w:gutter="0"/>
          <w:cols w:num="2" w:space="720" w:equalWidth="0">
            <w:col w:w="4320" w:space="720"/>
            <w:col w:w="4320" w:space="0"/>
          </w:cols>
        </w:sectPr>
      </w:pPr>
    </w:p>
    <w:p w14:paraId="2AA5E752" w14:textId="77777777" w:rsidR="00656E81" w:rsidRPr="00656E81" w:rsidRDefault="00656E81" w:rsidP="00656E81">
      <w:pPr>
        <w:spacing w:before="240" w:after="0" w:line="360" w:lineRule="auto"/>
        <w:ind w:firstLine="720"/>
        <w:jc w:val="center"/>
        <w:rPr>
          <w:rFonts w:ascii="Bookman Old Style" w:hAnsi="Bookman Old Style"/>
          <w:b/>
          <w:sz w:val="28"/>
          <w:szCs w:val="28"/>
          <w:lang w:val="sv-SE"/>
        </w:rPr>
      </w:pPr>
      <w:r w:rsidRPr="00656E81">
        <w:rPr>
          <w:rFonts w:ascii="Bookman Old Style" w:hAnsi="Bookman Old Style"/>
          <w:b/>
          <w:sz w:val="28"/>
          <w:szCs w:val="28"/>
          <w:lang w:val="sv-SE"/>
        </w:rPr>
        <w:t>Pandangan Gereja Terhadap Penggunaan Gadget Dalam Kedisiplinan Beribadah</w:t>
      </w:r>
    </w:p>
    <w:p w14:paraId="0EAB76BD" w14:textId="571E0DAE" w:rsidR="00E4296B" w:rsidRDefault="00656E81">
      <w:pPr>
        <w:pBdr>
          <w:top w:val="nil"/>
          <w:left w:val="nil"/>
          <w:bottom w:val="nil"/>
          <w:right w:val="nil"/>
          <w:between w:val="nil"/>
        </w:pBdr>
        <w:spacing w:before="120" w:after="0" w:line="240" w:lineRule="auto"/>
        <w:jc w:val="center"/>
        <w:rPr>
          <w:rFonts w:ascii="Bookman Old Style" w:eastAsia="Bookman Old Style" w:hAnsi="Bookman Old Style" w:cs="Bookman Old Style"/>
          <w:b/>
          <w:color w:val="747474"/>
        </w:rPr>
      </w:pPr>
      <w:r>
        <w:rPr>
          <w:rFonts w:ascii="Bookman Old Style" w:eastAsia="Bookman Old Style" w:hAnsi="Bookman Old Style" w:cs="Bookman Old Style"/>
          <w:b/>
          <w:color w:val="000000"/>
        </w:rPr>
        <w:t>Norpi</w:t>
      </w:r>
      <w:r w:rsidR="00000000">
        <w:rPr>
          <w:rFonts w:ascii="Bookman Old Style" w:eastAsia="Bookman Old Style" w:hAnsi="Bookman Old Style" w:cs="Bookman Old Style"/>
          <w:b/>
          <w:color w:val="000000"/>
          <w:vertAlign w:val="superscript"/>
        </w:rPr>
        <w:t>1</w:t>
      </w:r>
      <w:r w:rsidR="00000000">
        <w:rPr>
          <w:rFonts w:ascii="Bookman Old Style" w:eastAsia="Bookman Old Style" w:hAnsi="Bookman Old Style" w:cs="Bookman Old Style"/>
          <w:b/>
          <w:color w:val="000000"/>
        </w:rPr>
        <w:t xml:space="preserve">, </w:t>
      </w:r>
      <w:r w:rsidRPr="005317C5">
        <w:rPr>
          <w:rFonts w:ascii="Bookman Old Style" w:hAnsi="Bookman Old Style"/>
          <w:b/>
          <w:lang w:val="sv-SE"/>
        </w:rPr>
        <w:t>Marselina Magiri</w:t>
      </w:r>
      <w:r>
        <w:rPr>
          <w:rFonts w:ascii="Bookman Old Style" w:eastAsia="Bookman Old Style" w:hAnsi="Bookman Old Style" w:cs="Bookman Old Style"/>
          <w:b/>
          <w:color w:val="000000"/>
          <w:vertAlign w:val="superscript"/>
        </w:rPr>
        <w:t xml:space="preserve"> </w:t>
      </w:r>
      <w:r w:rsidR="00000000">
        <w:rPr>
          <w:rFonts w:ascii="Bookman Old Style" w:eastAsia="Bookman Old Style" w:hAnsi="Bookman Old Style" w:cs="Bookman Old Style"/>
          <w:b/>
          <w:color w:val="000000"/>
          <w:vertAlign w:val="superscript"/>
        </w:rPr>
        <w:t>2</w:t>
      </w:r>
    </w:p>
    <w:p w14:paraId="62F6DCB7" w14:textId="77777777" w:rsidR="00E4296B" w:rsidRDefault="00E4296B"/>
    <w:tbl>
      <w:tblPr>
        <w:tblStyle w:val="a0"/>
        <w:tblW w:w="9350" w:type="dxa"/>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2127"/>
        <w:gridCol w:w="7223"/>
      </w:tblGrid>
      <w:tr w:rsidR="00E4296B" w14:paraId="3B0E3870" w14:textId="77777777">
        <w:tc>
          <w:tcPr>
            <w:tcW w:w="2127" w:type="dxa"/>
          </w:tcPr>
          <w:p w14:paraId="337E5131" w14:textId="77777777" w:rsidR="00E4296B" w:rsidRDefault="00000000">
            <w:pPr>
              <w:spacing w:line="240" w:lineRule="auto"/>
              <w:rPr>
                <w:rFonts w:ascii="Bookman Old Style" w:eastAsia="Bookman Old Style" w:hAnsi="Bookman Old Style" w:cs="Bookman Old Style"/>
                <w:b/>
                <w:color w:val="2C7FCE"/>
                <w:sz w:val="20"/>
                <w:szCs w:val="20"/>
              </w:rPr>
            </w:pPr>
            <w:r>
              <w:rPr>
                <w:rFonts w:ascii="Bookman Old Style" w:eastAsia="Bookman Old Style" w:hAnsi="Bookman Old Style" w:cs="Bookman Old Style"/>
                <w:b/>
                <w:color w:val="2C7FCE"/>
                <w:sz w:val="20"/>
                <w:szCs w:val="20"/>
              </w:rPr>
              <w:t>Info Article</w:t>
            </w:r>
          </w:p>
          <w:p w14:paraId="37E390B1" w14:textId="77777777" w:rsidR="00656E81" w:rsidRDefault="00656E81" w:rsidP="00656E81">
            <w:pPr>
              <w:spacing w:line="360" w:lineRule="auto"/>
              <w:rPr>
                <w:rFonts w:ascii="Bookman Old Style" w:eastAsia="Bookman Old Style" w:hAnsi="Bookman Old Style" w:cs="Bookman Old Style"/>
                <w:color w:val="2C7FCE"/>
                <w:sz w:val="20"/>
                <w:szCs w:val="20"/>
              </w:rPr>
            </w:pPr>
          </w:p>
          <w:p w14:paraId="0F5B5ABF" w14:textId="019D7FC5" w:rsidR="00E4296B" w:rsidRPr="00656E81" w:rsidRDefault="00656E81" w:rsidP="00656E81">
            <w:pPr>
              <w:spacing w:line="360" w:lineRule="auto"/>
              <w:rPr>
                <w:rFonts w:ascii="Bookman Old Style" w:hAnsi="Bookman Old Style"/>
                <w:lang w:val="sv-SE"/>
              </w:rPr>
            </w:pPr>
            <w:r w:rsidRPr="005317C5">
              <w:rPr>
                <w:rFonts w:ascii="Bookman Old Style" w:hAnsi="Bookman Old Style"/>
                <w:lang w:val="sv-SE"/>
              </w:rPr>
              <w:t>Institut Agama Kristen Negeri Toraja</w:t>
            </w:r>
            <w:r>
              <w:rPr>
                <w:rFonts w:ascii="Bookman Old Style" w:hAnsi="Bookman Old Style"/>
                <w:lang w:val="sv-SE"/>
              </w:rPr>
              <w:t xml:space="preserve"> </w:t>
            </w:r>
            <w:r w:rsidR="00000000">
              <w:rPr>
                <w:rFonts w:ascii="Bookman Old Style" w:eastAsia="Bookman Old Style" w:hAnsi="Bookman Old Style" w:cs="Bookman Old Style"/>
                <w:sz w:val="20"/>
                <w:szCs w:val="20"/>
              </w:rPr>
              <w:t>1</w:t>
            </w:r>
            <w:r>
              <w:rPr>
                <w:rFonts w:ascii="Bookman Old Style" w:hAnsi="Bookman Old Style"/>
                <w:lang w:val="sv-SE"/>
              </w:rPr>
              <w:t>,</w:t>
            </w:r>
            <w:r w:rsidR="00000000">
              <w:rPr>
                <w:rFonts w:ascii="Bookman Old Style" w:eastAsia="Bookman Old Style" w:hAnsi="Bookman Old Style" w:cs="Bookman Old Style"/>
                <w:sz w:val="20"/>
                <w:szCs w:val="20"/>
              </w:rPr>
              <w:t>2</w:t>
            </w:r>
          </w:p>
          <w:p w14:paraId="4E07D1E4" w14:textId="77777777" w:rsidR="00E4296B" w:rsidRDefault="00E4296B">
            <w:pPr>
              <w:spacing w:line="240" w:lineRule="auto"/>
              <w:rPr>
                <w:rFonts w:ascii="Bookman Old Style" w:eastAsia="Bookman Old Style" w:hAnsi="Bookman Old Style" w:cs="Bookman Old Style"/>
                <w:b/>
                <w:sz w:val="20"/>
                <w:szCs w:val="20"/>
              </w:rPr>
            </w:pPr>
          </w:p>
          <w:p w14:paraId="1D0BE874" w14:textId="68C85AA5" w:rsidR="00E4296B" w:rsidRDefault="00000000">
            <w:pPr>
              <w:spacing w:line="240" w:lineRule="auto"/>
              <w:rPr>
                <w:rFonts w:ascii="Bookman Old Style" w:eastAsia="Bookman Old Style" w:hAnsi="Bookman Old Style" w:cs="Bookman Old Style"/>
                <w:i/>
                <w:sz w:val="20"/>
                <w:szCs w:val="20"/>
              </w:rPr>
            </w:pPr>
            <w:r>
              <w:rPr>
                <w:rFonts w:ascii="Bookman Old Style" w:eastAsia="Bookman Old Style" w:hAnsi="Bookman Old Style" w:cs="Bookman Old Style"/>
                <w:i/>
                <w:sz w:val="20"/>
                <w:szCs w:val="20"/>
              </w:rPr>
              <w:t>*</w:t>
            </w:r>
            <w:r w:rsidR="00656E81" w:rsidRPr="005317C5">
              <w:rPr>
                <w:rFonts w:ascii="Bookman Old Style" w:hAnsi="Bookman Old Style"/>
              </w:rPr>
              <w:fldChar w:fldCharType="begin"/>
            </w:r>
            <w:r w:rsidR="00656E81" w:rsidRPr="005317C5">
              <w:rPr>
                <w:rFonts w:ascii="Bookman Old Style" w:hAnsi="Bookman Old Style"/>
                <w:lang w:val="sv-SE"/>
              </w:rPr>
              <w:instrText xml:space="preserve"> HYPERLINK "mailto:norpyanpepeng@gmail.com" </w:instrText>
            </w:r>
            <w:r w:rsidR="00656E81" w:rsidRPr="005317C5">
              <w:rPr>
                <w:rFonts w:ascii="Bookman Old Style" w:hAnsi="Bookman Old Style"/>
              </w:rPr>
              <w:fldChar w:fldCharType="separate"/>
            </w:r>
            <w:r w:rsidR="00656E81" w:rsidRPr="005317C5">
              <w:rPr>
                <w:rStyle w:val="Hyperlink"/>
                <w:rFonts w:ascii="Bookman Old Style" w:hAnsi="Bookman Old Style"/>
                <w:lang w:val="sv-SE"/>
              </w:rPr>
              <w:t>norpyanpepeng@gmail.com</w:t>
            </w:r>
            <w:r w:rsidR="00656E81" w:rsidRPr="005317C5">
              <w:rPr>
                <w:rFonts w:ascii="Bookman Old Style" w:hAnsi="Bookman Old Style"/>
              </w:rPr>
              <w:fldChar w:fldCharType="end"/>
            </w:r>
          </w:p>
          <w:p w14:paraId="6CE16EB3" w14:textId="77777777" w:rsidR="00E4296B" w:rsidRDefault="00E4296B">
            <w:pPr>
              <w:spacing w:line="240" w:lineRule="auto"/>
              <w:rPr>
                <w:rFonts w:ascii="Bookman Old Style" w:eastAsia="Bookman Old Style" w:hAnsi="Bookman Old Style" w:cs="Bookman Old Style"/>
                <w:i/>
                <w:sz w:val="20"/>
                <w:szCs w:val="20"/>
              </w:rPr>
            </w:pPr>
          </w:p>
          <w:p w14:paraId="1F60AA96" w14:textId="77777777" w:rsidR="00E4296B" w:rsidRDefault="00000000">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Submit:</w:t>
            </w:r>
          </w:p>
          <w:p w14:paraId="5A7D0326" w14:textId="47F288A2" w:rsidR="00E4296B" w:rsidRDefault="00000000">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 </w:t>
            </w:r>
            <w:r w:rsidR="00656E81">
              <w:rPr>
                <w:rFonts w:ascii="Bookman Old Style" w:eastAsia="Bookman Old Style" w:hAnsi="Bookman Old Style" w:cs="Bookman Old Style"/>
                <w:sz w:val="20"/>
                <w:szCs w:val="20"/>
              </w:rPr>
              <w:t>May 8</w:t>
            </w:r>
            <w:r>
              <w:rPr>
                <w:rFonts w:ascii="Bookman Old Style" w:eastAsia="Bookman Old Style" w:hAnsi="Bookman Old Style" w:cs="Bookman Old Style"/>
                <w:sz w:val="20"/>
                <w:szCs w:val="20"/>
              </w:rPr>
              <w:t>, 20</w:t>
            </w:r>
            <w:r w:rsidR="00656E81">
              <w:rPr>
                <w:rFonts w:ascii="Bookman Old Style" w:eastAsia="Bookman Old Style" w:hAnsi="Bookman Old Style" w:cs="Bookman Old Style"/>
                <w:sz w:val="20"/>
                <w:szCs w:val="20"/>
              </w:rPr>
              <w:t>24</w:t>
            </w:r>
          </w:p>
          <w:p w14:paraId="08EEADA9" w14:textId="77777777" w:rsidR="00E4296B" w:rsidRDefault="00E4296B">
            <w:pPr>
              <w:spacing w:line="240" w:lineRule="auto"/>
              <w:rPr>
                <w:rFonts w:ascii="Bookman Old Style" w:eastAsia="Bookman Old Style" w:hAnsi="Bookman Old Style" w:cs="Bookman Old Style"/>
                <w:sz w:val="20"/>
                <w:szCs w:val="20"/>
              </w:rPr>
            </w:pPr>
          </w:p>
          <w:p w14:paraId="4788F29A" w14:textId="77777777" w:rsidR="00E4296B" w:rsidRDefault="00000000">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Revised:</w:t>
            </w:r>
          </w:p>
          <w:p w14:paraId="6BCFDF5A" w14:textId="5C3C904B" w:rsidR="00E4296B" w:rsidRDefault="00656E81">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May 27</w:t>
            </w:r>
            <w:r w:rsidR="00000000">
              <w:rPr>
                <w:rFonts w:ascii="Bookman Old Style" w:eastAsia="Bookman Old Style" w:hAnsi="Bookman Old Style" w:cs="Bookman Old Style"/>
                <w:sz w:val="20"/>
                <w:szCs w:val="20"/>
              </w:rPr>
              <w:t>, 20</w:t>
            </w:r>
            <w:r>
              <w:rPr>
                <w:rFonts w:ascii="Bookman Old Style" w:eastAsia="Bookman Old Style" w:hAnsi="Bookman Old Style" w:cs="Bookman Old Style"/>
                <w:sz w:val="20"/>
                <w:szCs w:val="20"/>
              </w:rPr>
              <w:t>24</w:t>
            </w:r>
          </w:p>
          <w:p w14:paraId="20B85EA2" w14:textId="77777777" w:rsidR="00E4296B" w:rsidRDefault="00E4296B">
            <w:pPr>
              <w:spacing w:line="240" w:lineRule="auto"/>
              <w:rPr>
                <w:rFonts w:ascii="Bookman Old Style" w:eastAsia="Bookman Old Style" w:hAnsi="Bookman Old Style" w:cs="Bookman Old Style"/>
                <w:sz w:val="20"/>
                <w:szCs w:val="20"/>
              </w:rPr>
            </w:pPr>
          </w:p>
          <w:p w14:paraId="5C1325B9" w14:textId="77777777" w:rsidR="00E4296B" w:rsidRDefault="00000000">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Published:</w:t>
            </w:r>
          </w:p>
          <w:p w14:paraId="659AFEE0" w14:textId="7F4F01D3" w:rsidR="00E4296B" w:rsidRDefault="00656E81">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June, 30, 2024</w:t>
            </w:r>
          </w:p>
          <w:p w14:paraId="0630BAF5" w14:textId="77777777" w:rsidR="00E4296B" w:rsidRDefault="00E4296B">
            <w:pPr>
              <w:spacing w:line="240" w:lineRule="auto"/>
              <w:rPr>
                <w:rFonts w:ascii="Bookman Old Style" w:eastAsia="Bookman Old Style" w:hAnsi="Bookman Old Style" w:cs="Bookman Old Style"/>
                <w:sz w:val="20"/>
                <w:szCs w:val="20"/>
              </w:rPr>
            </w:pPr>
          </w:p>
          <w:p w14:paraId="16810BD8" w14:textId="77777777" w:rsidR="00E4296B" w:rsidRDefault="00E4296B">
            <w:pPr>
              <w:spacing w:line="240" w:lineRule="auto"/>
              <w:rPr>
                <w:rFonts w:ascii="Bookman Old Style" w:eastAsia="Bookman Old Style" w:hAnsi="Bookman Old Style" w:cs="Bookman Old Style"/>
                <w:sz w:val="20"/>
                <w:szCs w:val="20"/>
              </w:rPr>
            </w:pPr>
          </w:p>
          <w:p w14:paraId="6FB011D7" w14:textId="77777777" w:rsidR="00E4296B" w:rsidRDefault="00E4296B">
            <w:pPr>
              <w:spacing w:line="240" w:lineRule="auto"/>
              <w:rPr>
                <w:rFonts w:ascii="Bookman Old Style" w:eastAsia="Bookman Old Style" w:hAnsi="Bookman Old Style" w:cs="Bookman Old Style"/>
                <w:sz w:val="20"/>
                <w:szCs w:val="20"/>
              </w:rPr>
            </w:pPr>
          </w:p>
          <w:p w14:paraId="50A96409" w14:textId="77777777" w:rsidR="00E4296B" w:rsidRDefault="00000000">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noProof/>
                <w:sz w:val="20"/>
                <w:szCs w:val="20"/>
              </w:rPr>
              <w:drawing>
                <wp:inline distT="0" distB="0" distL="0" distR="0" wp14:anchorId="3FE61BAD" wp14:editId="79C08978">
                  <wp:extent cx="841375" cy="292735"/>
                  <wp:effectExtent l="0" t="0" r="0" b="0"/>
                  <wp:docPr id="7597121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41375" cy="292735"/>
                          </a:xfrm>
                          <a:prstGeom prst="rect">
                            <a:avLst/>
                          </a:prstGeom>
                          <a:ln/>
                        </pic:spPr>
                      </pic:pic>
                    </a:graphicData>
                  </a:graphic>
                </wp:inline>
              </w:drawing>
            </w:r>
          </w:p>
          <w:p w14:paraId="0D6F7BB9" w14:textId="77777777" w:rsidR="00E4296B" w:rsidRDefault="00000000">
            <w:pPr>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16"/>
                <w:szCs w:val="16"/>
              </w:rPr>
              <w:t>This work is licensed under a Creative Commons Attribution-Non Commercial - Share Alike 4.0 International License</w:t>
            </w:r>
          </w:p>
          <w:p w14:paraId="08EA2281" w14:textId="77777777" w:rsidR="00E4296B" w:rsidRDefault="00E4296B">
            <w:pPr>
              <w:spacing w:line="240" w:lineRule="auto"/>
              <w:rPr>
                <w:rFonts w:ascii="Bookman Old Style" w:eastAsia="Bookman Old Style" w:hAnsi="Bookman Old Style" w:cs="Bookman Old Style"/>
                <w:sz w:val="20"/>
                <w:szCs w:val="20"/>
              </w:rPr>
            </w:pPr>
          </w:p>
        </w:tc>
        <w:tc>
          <w:tcPr>
            <w:tcW w:w="7223" w:type="dxa"/>
          </w:tcPr>
          <w:p w14:paraId="193A6E7B" w14:textId="77777777" w:rsidR="00E4296B" w:rsidRDefault="00000000">
            <w:pPr>
              <w:pBdr>
                <w:top w:val="nil"/>
                <w:left w:val="nil"/>
                <w:bottom w:val="nil"/>
                <w:right w:val="nil"/>
                <w:between w:val="nil"/>
              </w:pBdr>
              <w:spacing w:line="240" w:lineRule="auto"/>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Abstract:</w:t>
            </w:r>
          </w:p>
          <w:p w14:paraId="6BFC57A5" w14:textId="77777777" w:rsidR="00656E81" w:rsidRPr="005317C5" w:rsidRDefault="00656E81" w:rsidP="00656E81">
            <w:pPr>
              <w:spacing w:line="240" w:lineRule="auto"/>
              <w:jc w:val="both"/>
              <w:rPr>
                <w:rFonts w:ascii="Bookman Old Style" w:hAnsi="Bookman Old Style"/>
                <w:i/>
              </w:rPr>
            </w:pPr>
            <w:r w:rsidRPr="005317C5">
              <w:rPr>
                <w:rFonts w:ascii="Bookman Old Style" w:hAnsi="Bookman Old Style"/>
                <w:i/>
              </w:rPr>
              <w:t>The use of technology in religious contexts, particularly the use of gadgets in the discipline of worship, has become an increasingly relevant topic. This paper presents the church’s view on this phenomenon, considering various aspects such as the role of gadgets in facilitating access to religious resources, the potential disruption to the concentration and sacredness of worship, and the responsibility of individuals in regulating the use of technology in extending the reach of religious messages but also needs to emphasise the importance of maintaining the quality and specificity of the actual worship experience. Therefore, the church encourages its congregation to use gadgets wisely, ensuring that the use of technology doesn’t interfere with the focus and quality of worship, but rather strengthens the personal relationship with God while maintaining discipline in worship. The research method used in this study is descriptive using literature from books and jurnals relevant to the church’s view of the use of gadgets in the discipline of worship. The results of this study show that gadgets play an important role for humans so that the attitude that must be emphasised is wisdom or wisdom in using these smart phone. If this is not the case, it will have an impact on the indiscipline in worship because the fosuc annot be regulated properly.</w:t>
            </w:r>
          </w:p>
          <w:p w14:paraId="640E3BF7" w14:textId="77777777" w:rsidR="00E4296B" w:rsidRDefault="00E4296B">
            <w:pPr>
              <w:spacing w:line="240" w:lineRule="auto"/>
              <w:rPr>
                <w:rFonts w:ascii="Bookman Old Style" w:eastAsia="Bookman Old Style" w:hAnsi="Bookman Old Style" w:cs="Bookman Old Style"/>
                <w:b/>
                <w:i/>
                <w:sz w:val="20"/>
                <w:szCs w:val="20"/>
              </w:rPr>
            </w:pPr>
          </w:p>
          <w:p w14:paraId="111F5C75" w14:textId="0B0A630F" w:rsidR="00E4296B" w:rsidRDefault="00000000">
            <w:pPr>
              <w:spacing w:line="240" w:lineRule="auto"/>
              <w:jc w:val="both"/>
              <w:rPr>
                <w:rFonts w:ascii="Bookman Old Style" w:eastAsia="Bookman Old Style" w:hAnsi="Bookman Old Style" w:cs="Bookman Old Style"/>
                <w:i/>
                <w:sz w:val="20"/>
                <w:szCs w:val="20"/>
              </w:rPr>
            </w:pPr>
            <w:r>
              <w:rPr>
                <w:rFonts w:ascii="Bookman Old Style" w:eastAsia="Bookman Old Style" w:hAnsi="Bookman Old Style" w:cs="Bookman Old Style"/>
                <w:b/>
                <w:i/>
                <w:sz w:val="20"/>
                <w:szCs w:val="20"/>
              </w:rPr>
              <w:t xml:space="preserve">Keywords: </w:t>
            </w:r>
            <w:r w:rsidR="00656E81" w:rsidRPr="005317C5">
              <w:rPr>
                <w:rFonts w:ascii="Bookman Old Style" w:hAnsi="Bookman Old Style"/>
                <w:i/>
              </w:rPr>
              <w:t>Usage, church, gadgets, discipline, worship</w:t>
            </w:r>
          </w:p>
          <w:p w14:paraId="302D2654" w14:textId="77777777" w:rsidR="00E4296B" w:rsidRDefault="00E4296B">
            <w:pPr>
              <w:spacing w:line="240" w:lineRule="auto"/>
              <w:rPr>
                <w:rFonts w:ascii="Bookman Old Style" w:eastAsia="Bookman Old Style" w:hAnsi="Bookman Old Style" w:cs="Bookman Old Style"/>
                <w:i/>
                <w:sz w:val="20"/>
                <w:szCs w:val="20"/>
              </w:rPr>
            </w:pPr>
          </w:p>
          <w:p w14:paraId="4F243583" w14:textId="77777777" w:rsidR="00E4296B" w:rsidRDefault="00E4296B">
            <w:pPr>
              <w:spacing w:line="240" w:lineRule="auto"/>
              <w:rPr>
                <w:rFonts w:ascii="Bookman Old Style" w:eastAsia="Bookman Old Style" w:hAnsi="Bookman Old Style" w:cs="Bookman Old Style"/>
                <w:i/>
                <w:sz w:val="20"/>
                <w:szCs w:val="20"/>
              </w:rPr>
            </w:pPr>
          </w:p>
          <w:p w14:paraId="3B25C9FE" w14:textId="77777777" w:rsidR="00E4296B" w:rsidRDefault="00000000">
            <w:pPr>
              <w:pBdr>
                <w:top w:val="nil"/>
                <w:left w:val="nil"/>
                <w:bottom w:val="nil"/>
                <w:right w:val="nil"/>
                <w:between w:val="nil"/>
              </w:pBdr>
              <w:spacing w:line="240" w:lineRule="auto"/>
              <w:rPr>
                <w:rFonts w:ascii="Bookman Old Style" w:eastAsia="Bookman Old Style" w:hAnsi="Bookman Old Style" w:cs="Bookman Old Style"/>
                <w:b/>
                <w:color w:val="000000"/>
                <w:sz w:val="20"/>
                <w:szCs w:val="20"/>
              </w:rPr>
            </w:pPr>
            <w:r>
              <w:rPr>
                <w:rFonts w:ascii="Bookman Old Style" w:eastAsia="Bookman Old Style" w:hAnsi="Bookman Old Style" w:cs="Bookman Old Style"/>
                <w:b/>
                <w:color w:val="000000"/>
                <w:sz w:val="20"/>
                <w:szCs w:val="20"/>
              </w:rPr>
              <w:t>Abstrak:</w:t>
            </w:r>
          </w:p>
          <w:p w14:paraId="7286E8BD" w14:textId="77777777" w:rsidR="00656E81" w:rsidRPr="005317C5" w:rsidRDefault="00656E81" w:rsidP="00656E81">
            <w:pPr>
              <w:spacing w:line="240" w:lineRule="auto"/>
              <w:jc w:val="both"/>
              <w:rPr>
                <w:rFonts w:ascii="Bookman Old Style" w:hAnsi="Bookman Old Style"/>
                <w:lang w:val="sv-SE"/>
              </w:rPr>
            </w:pPr>
            <w:r w:rsidRPr="005317C5">
              <w:rPr>
                <w:rFonts w:ascii="Bookman Old Style" w:hAnsi="Bookman Old Style"/>
                <w:lang w:val="sv-SE"/>
              </w:rPr>
              <w:t xml:space="preserve">Penggunaan teknologi dalam konteks keagamaan, khususnya penggunaan gadget dalam kedisiplinan beribadah, telah menjadi topik yang semakinrelevan. Tulisan ini menyajikan pandangan gereja terhadap fenomena ini, mempertimbangkan berbagai aspek seperti peran gadget dalam memfasilitasi akses ke sumber-sumber keagamaan, potensi gangguan terhadap konsentrasi dan kesakralan ibadah, serta tanggung jawab individu dalam </w:t>
            </w:r>
            <w:r w:rsidRPr="005317C5">
              <w:rPr>
                <w:rFonts w:ascii="Bookman Old Style" w:hAnsi="Bookman Old Style"/>
                <w:lang w:val="sv-SE"/>
              </w:rPr>
              <w:lastRenderedPageBreak/>
              <w:t>mengatur penggunaan teknologi dalam konteks keagamaan. Gereja mengakui manfaat teknologi dalam memperluas jangkauan pesan keagamaan tetapi juga perlu menekankan pentingnya mempertahankan kualitas dan kekhususan pengalaman beribadah yang sebenaranya. Oleh karena itu, gereja mendorong jemaatnya untuk menggunakan gadget dengan bijak, memastikan bahwa penggunaan teknologi tidak mengganggu fokus dan kualitas ibadah, melainkan menguatkan hubungan pribadi dengan Tuhan dengan tetap menjaga kedisiplinan dalam beribadah. Adapun metode penelitian yang digunakan dalam penelitian ini adalah kualitatif deskriptif dengan menggunakan literatus dari buku-buku dan jurnal yang relevan dengan pendangan gereja terhadap penggunaan gadget dalam kedisiplinan beribadah. Hasil penelitian ini menunjukkan bahwa gadget berperan penting bagi manusia sehingga sikap yang hars ditekankan adalah kebijaksanaan atau berhikmaan dalam menggunakan ponsel pintar tersebut. Jika tidak demikian akan berdampak pada ketidakdisiplinan dalam beribadah oleh karena fokus yang tak bisa diatur dengan baik.</w:t>
            </w:r>
          </w:p>
          <w:p w14:paraId="2E6DAAF2" w14:textId="77777777" w:rsidR="00E4296B" w:rsidRPr="00656E81" w:rsidRDefault="00E4296B">
            <w:pPr>
              <w:spacing w:line="240" w:lineRule="auto"/>
              <w:rPr>
                <w:rFonts w:ascii="Bookman Old Style" w:eastAsia="Bookman Old Style" w:hAnsi="Bookman Old Style" w:cs="Bookman Old Style"/>
                <w:b/>
                <w:i/>
                <w:sz w:val="20"/>
                <w:szCs w:val="20"/>
                <w:lang w:val="sv-SE"/>
              </w:rPr>
            </w:pPr>
          </w:p>
          <w:p w14:paraId="7E467204" w14:textId="77777777" w:rsidR="00756876" w:rsidRPr="005317C5" w:rsidRDefault="00000000" w:rsidP="00756876">
            <w:pPr>
              <w:spacing w:line="240" w:lineRule="auto"/>
              <w:jc w:val="both"/>
              <w:rPr>
                <w:rFonts w:ascii="Bookman Old Style" w:hAnsi="Bookman Old Style"/>
                <w:lang w:val="sv-SE"/>
              </w:rPr>
            </w:pPr>
            <w:r>
              <w:rPr>
                <w:rFonts w:ascii="Bookman Old Style" w:eastAsia="Bookman Old Style" w:hAnsi="Bookman Old Style" w:cs="Bookman Old Style"/>
                <w:b/>
                <w:i/>
                <w:sz w:val="20"/>
                <w:szCs w:val="20"/>
              </w:rPr>
              <w:t xml:space="preserve">Kata Kunci: </w:t>
            </w:r>
            <w:r w:rsidR="00756876" w:rsidRPr="005317C5">
              <w:rPr>
                <w:rFonts w:ascii="Bookman Old Style" w:hAnsi="Bookman Old Style"/>
                <w:lang w:val="sv-SE"/>
              </w:rPr>
              <w:t>penggunaan, gereja, gadget, kedisiplinan, beribadah</w:t>
            </w:r>
          </w:p>
          <w:p w14:paraId="05AF8F04" w14:textId="4C7F5211" w:rsidR="00E4296B" w:rsidRPr="00756876" w:rsidRDefault="00756876" w:rsidP="00756876">
            <w:pPr>
              <w:spacing w:line="240" w:lineRule="auto"/>
              <w:jc w:val="both"/>
              <w:rPr>
                <w:rFonts w:ascii="Bookman Old Style" w:hAnsi="Bookman Old Style"/>
                <w:b/>
                <w:lang w:val="sv-SE"/>
              </w:rPr>
            </w:pPr>
            <w:r w:rsidRPr="005317C5">
              <w:rPr>
                <w:rFonts w:ascii="Bookman Old Style" w:hAnsi="Bookman Old Style"/>
                <w:b/>
                <w:lang w:val="sv-SE"/>
              </w:rPr>
              <w:tab/>
            </w:r>
          </w:p>
        </w:tc>
      </w:tr>
    </w:tbl>
    <w:p w14:paraId="409B211A" w14:textId="77777777" w:rsidR="00E4296B" w:rsidRDefault="00E4296B"/>
    <w:p w14:paraId="1A51C9B3" w14:textId="77777777" w:rsidR="00E4296B" w:rsidRDefault="00000000">
      <w:pPr>
        <w:pStyle w:val="Heading1"/>
      </w:pPr>
      <w:r>
        <w:t>Pendahuluan</w:t>
      </w:r>
    </w:p>
    <w:p w14:paraId="5E8647C9" w14:textId="77777777" w:rsidR="00656E81" w:rsidRPr="005317C5" w:rsidRDefault="00656E81" w:rsidP="00656E81">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Penggunaan gadget dikalangan masyarakat secara luas terkhusus di Indonesia bukanlah sesuatu yang asing. Terlihat dari seiring berkembangnya zaman pengaruh dari aspek teknologi memiliki dampak yang sangat signifikan yang dirasakan oleh kalangan masyarakat tak terkecuali anak dibawah umur. Menurut  Admar, Yakub dan Rosmawati dalam </w:t>
      </w:r>
      <w:r w:rsidRPr="005317C5">
        <w:rPr>
          <w:rFonts w:ascii="Bookman Old Style" w:hAnsi="Bookman Old Style"/>
          <w:i/>
          <w:lang w:val="sv-SE"/>
        </w:rPr>
        <w:t>Jurnal of Holistic Nursing and Health Science</w:t>
      </w:r>
      <w:r w:rsidRPr="005317C5">
        <w:rPr>
          <w:rFonts w:ascii="Bookman Old Style" w:hAnsi="Bookman Old Style"/>
          <w:lang w:val="sv-SE"/>
        </w:rPr>
        <w:t xml:space="preserve"> gadget awalnya diciptakan untuk mempermudah komunikasi dan seiring berjalannya waktu gadget semakin diperlengkapi dengan berbagai fitur-fitur yang lebih memudahkan lagi</w:t>
      </w:r>
      <w:r w:rsidRPr="005317C5">
        <w:rPr>
          <w:rStyle w:val="FootnoteReference"/>
          <w:rFonts w:ascii="Bookman Old Style" w:hAnsi="Bookman Old Style"/>
        </w:rPr>
        <w:footnoteReference w:id="1"/>
      </w:r>
      <w:r w:rsidRPr="005317C5">
        <w:rPr>
          <w:rFonts w:ascii="Bookman Old Style" w:hAnsi="Bookman Old Style"/>
          <w:lang w:val="sv-SE"/>
        </w:rPr>
        <w:t>. Jadi, perkembangan teknologi dalam bidang gadget memberikan dampak yang luar biasa bagi manusia mulai dari memudahkan dalam berkomunikasi, mendapatkan informasi, bisnis, kreatifitas, dan menjadi salah satu alat dalam sebuah pekerjaan tertentu.</w:t>
      </w:r>
    </w:p>
    <w:p w14:paraId="607CCDF9" w14:textId="77777777" w:rsidR="00656E81" w:rsidRPr="005317C5" w:rsidRDefault="00656E81"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Kelengkapan fitur dalam sebuah gadget dampaknya membuat individu menjadi semakin ketergantungan dan tidak bisa lepas dari gadget. Artinya, gadget memberikan kenyamanan bagi kehidupan manusia. Namun disisi lain tak dapat dipungkiri dan dihindari akan dampak negatif dari penggunaan gadget itu sendiri. Secara khusus bagi hubungan sosial dimana hubungan sosial yang sebelumnya dekat, nyaman dan saling </w:t>
      </w:r>
      <w:r w:rsidRPr="005317C5">
        <w:rPr>
          <w:rFonts w:ascii="Bookman Old Style" w:hAnsi="Bookman Old Style"/>
          <w:lang w:val="sv-SE"/>
        </w:rPr>
        <w:lastRenderedPageBreak/>
        <w:t>terhubung baik dalam lingkungan keluarga, pertemanan, dunia kerja dan masyarakat kini semakin menjadi jauh. Seperti ada sekat atau pembatas antara individu satu dengan individu lainnya. Hal inilah yang memunculkan jargon “mendekatkan yang jauh, menjauhkan yang dekat”</w:t>
      </w:r>
      <w:r w:rsidRPr="005317C5">
        <w:rPr>
          <w:rStyle w:val="FootnoteReference"/>
          <w:rFonts w:ascii="Bookman Old Style" w:hAnsi="Bookman Old Style"/>
        </w:rPr>
        <w:footnoteReference w:id="2"/>
      </w:r>
      <w:r w:rsidRPr="005317C5">
        <w:rPr>
          <w:rFonts w:ascii="Bookman Old Style" w:hAnsi="Bookman Old Style"/>
          <w:lang w:val="sv-SE"/>
        </w:rPr>
        <w:t xml:space="preserve">. Begitu berpengaruhnya dampak dari penggunaan gadget menjadi tantangan tersendiri bagi gereja. Beberapa sumber menunjukkan pengunaan gadget di kalangan anak-anak hingga pemuda dipandang sebagai tantangan yang menarik perhatian oleh karena gadget seperti smartphone, tablet dan laptop telah menjadi bagian yang tak terpisahkan dari kehidupan sehari-hari. </w:t>
      </w:r>
    </w:p>
    <w:p w14:paraId="2EF6C624" w14:textId="77777777" w:rsidR="00656E81" w:rsidRPr="005317C5" w:rsidRDefault="00656E81"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Salah satu penelitian dari Fateili Halawa membahas tentang “Pengaruh gadget terhadap pertumbuhan kerohanian remaja kristen” tujuan penelitiannya adalah untuk menganalisis penggunaan gadget dikalangan remaja dan melihat pertumbuhan spiritual remaja. Hasilnya menunjukkan remaja lebih banyak menghabiskan waktu bermain dengan gadgetnya dari pada berdoa dan membaca Alkitab.</w:t>
      </w:r>
      <w:r w:rsidRPr="005317C5">
        <w:rPr>
          <w:rStyle w:val="FootnoteReference"/>
          <w:rFonts w:ascii="Bookman Old Style" w:hAnsi="Bookman Old Style"/>
        </w:rPr>
        <w:footnoteReference w:id="3"/>
      </w:r>
      <w:r w:rsidRPr="005317C5">
        <w:rPr>
          <w:rFonts w:ascii="Bookman Old Style" w:hAnsi="Bookman Old Style"/>
          <w:lang w:val="sv-SE"/>
        </w:rPr>
        <w:t xml:space="preserve"> Sumber lain seperti yang ditulis oleh Chris Stokel-Walker di laman BBC Future tentang “Bagaimana ponsel pintar dan media sosial mengubah umat Kristen”? menunjukkan bahwa penggunaan gadget dan media sosial telah mempengaruhi cara umat Kristen berinteraksi dengan agama mereka. Banyak umat Kristen beralih ke aplikasi selular dan media sosial untuk mengekspresikan iman mereka yang dapat mengubah cara mereka berinteraksi dengan gereja dan masyarakat.</w:t>
      </w:r>
      <w:r w:rsidRPr="005317C5">
        <w:rPr>
          <w:rStyle w:val="FootnoteReference"/>
          <w:rFonts w:ascii="Bookman Old Style" w:hAnsi="Bookman Old Style"/>
        </w:rPr>
        <w:footnoteReference w:id="4"/>
      </w:r>
      <w:r w:rsidRPr="005317C5">
        <w:rPr>
          <w:rFonts w:ascii="Bookman Old Style" w:hAnsi="Bookman Old Style"/>
          <w:lang w:val="sv-SE"/>
        </w:rPr>
        <w:t xml:space="preserve"> </w:t>
      </w:r>
    </w:p>
    <w:p w14:paraId="4C1C1025" w14:textId="77777777" w:rsidR="00656E81" w:rsidRPr="005317C5" w:rsidRDefault="00656E81"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Dari beberapa penelitian di atas penulis tertarik untuk menulis tentang bagaimana pandangan gereja terhadap penggunaan gadget dalam kedisplinan beribadah. Oleh karena penggunaan gadget yang tidak bijak sehingga mempengaruhi segala perilaku seseorang dalam segala aktifitasnya termaksud dalam beribadah. </w:t>
      </w:r>
    </w:p>
    <w:p w14:paraId="1275CF4E" w14:textId="77777777" w:rsidR="00E4296B" w:rsidRDefault="00000000">
      <w:pPr>
        <w:pStyle w:val="Heading1"/>
      </w:pPr>
      <w:r>
        <w:t>Metode</w:t>
      </w:r>
    </w:p>
    <w:p w14:paraId="4F046F2A"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Penelitian ini menggunakan metode kualitatif deskriptif dengan menjadikan literatur buku atau jurnal ilmiah sebagai acuan yang dikorelasikan dengan persoalan pandangan gereja terhadap penggunaan gadget dalam kedisiplinan. Proses penulisan artikel ini adalah penulis mengkaji, diantaranya: Defenisi gadget, dampak penggunaan gadget, pandangan gereja terhadap penggunaan gadget dan bagaimana konseling </w:t>
      </w:r>
      <w:r w:rsidRPr="005317C5">
        <w:rPr>
          <w:rFonts w:ascii="Bookman Old Style" w:hAnsi="Bookman Old Style"/>
          <w:lang w:val="sv-SE"/>
        </w:rPr>
        <w:lastRenderedPageBreak/>
        <w:t xml:space="preserve">terhadap penggunaan gadget yang berlebihan. </w:t>
      </w:r>
    </w:p>
    <w:p w14:paraId="7D23232D" w14:textId="77777777" w:rsidR="00E4296B" w:rsidRDefault="00000000">
      <w:pPr>
        <w:pStyle w:val="Heading1"/>
      </w:pPr>
      <w:r>
        <w:t>Hasil dan Pembahasan</w:t>
      </w:r>
    </w:p>
    <w:p w14:paraId="6F846E31" w14:textId="77777777" w:rsidR="00EE6B89" w:rsidRPr="005317C5" w:rsidRDefault="00EE6B89" w:rsidP="00EE6B89">
      <w:pPr>
        <w:widowControl/>
        <w:spacing w:after="0" w:line="360" w:lineRule="auto"/>
        <w:jc w:val="both"/>
        <w:rPr>
          <w:rFonts w:ascii="Bookman Old Style" w:hAnsi="Bookman Old Style"/>
          <w:b/>
        </w:rPr>
      </w:pPr>
      <w:r w:rsidRPr="005317C5">
        <w:rPr>
          <w:rFonts w:ascii="Bookman Old Style" w:hAnsi="Bookman Old Style"/>
          <w:b/>
        </w:rPr>
        <w:t>Defenisi Gadget</w:t>
      </w:r>
    </w:p>
    <w:p w14:paraId="4684429D" w14:textId="755462E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Secara umum istilah </w:t>
      </w:r>
      <w:r w:rsidRPr="005317C5">
        <w:rPr>
          <w:rFonts w:ascii="Bookman Old Style" w:hAnsi="Bookman Old Style"/>
          <w:i/>
          <w:lang w:val="sv-SE"/>
        </w:rPr>
        <w:t>gadget</w:t>
      </w:r>
      <w:r w:rsidRPr="005317C5">
        <w:rPr>
          <w:rFonts w:ascii="Bookman Old Style" w:hAnsi="Bookman Old Style"/>
          <w:lang w:val="sv-SE"/>
        </w:rPr>
        <w:t xml:space="preserve"> atau gawai berasal dari bahasa Inggris yang berarti perangkat eloktronik yang memiliki fungsi khusus. Dalam bahasa Indonesia </w:t>
      </w:r>
      <w:r w:rsidRPr="005317C5">
        <w:rPr>
          <w:rFonts w:ascii="Bookman Old Style" w:hAnsi="Bookman Old Style"/>
          <w:i/>
          <w:lang w:val="sv-SE"/>
        </w:rPr>
        <w:t>gadget</w:t>
      </w:r>
      <w:r w:rsidRPr="005317C5">
        <w:rPr>
          <w:rFonts w:ascii="Bookman Old Style" w:hAnsi="Bookman Old Style"/>
          <w:lang w:val="sv-SE"/>
        </w:rPr>
        <w:t xml:space="preserve"> disebut gawai</w:t>
      </w:r>
      <w:r w:rsidRPr="005317C5">
        <w:rPr>
          <w:rStyle w:val="FootnoteReference"/>
          <w:rFonts w:ascii="Bookman Old Style" w:hAnsi="Bookman Old Style"/>
        </w:rPr>
        <w:footnoteReference w:id="5"/>
      </w:r>
      <w:r w:rsidRPr="005317C5">
        <w:rPr>
          <w:rFonts w:ascii="Bookman Old Style" w:hAnsi="Bookman Old Style"/>
          <w:lang w:val="sv-SE"/>
        </w:rPr>
        <w:t xml:space="preserve">. Gadget merupakan salah satu alat teknologi informasi dan komunikasi yang memiliki kapasitas untuk menyelesaikan berbaga tugas manusia dengan cepat dan kreatif. Berbagai fitur yang ada dalam gadget seperti: </w:t>
      </w:r>
      <w:r w:rsidRPr="005317C5">
        <w:rPr>
          <w:rFonts w:ascii="Bookman Old Style" w:hAnsi="Bookman Old Style"/>
          <w:i/>
          <w:lang w:val="sv-SE"/>
        </w:rPr>
        <w:t xml:space="preserve">whatsapp, instrgram, capcut, tiktok, youtube, internet, </w:t>
      </w:r>
      <w:r w:rsidRPr="005317C5">
        <w:rPr>
          <w:rFonts w:ascii="Bookman Old Style" w:hAnsi="Bookman Old Style"/>
          <w:lang w:val="sv-SE"/>
        </w:rPr>
        <w:t>dsb. Kurniawati, menuturkan saat ini penggunaan gadget tidak terbatas usia, profesi melainkan melibatkan seluruh kelompok masyarakat. Banyak orang mengalokasikan sebagian besar waktunya hanya untuk menggunakan gadget dalam menjaankan aktivitasnya.</w:t>
      </w:r>
      <w:r w:rsidRPr="005317C5">
        <w:rPr>
          <w:rStyle w:val="FootnoteReference"/>
          <w:rFonts w:ascii="Bookman Old Style" w:hAnsi="Bookman Old Style"/>
        </w:rPr>
        <w:footnoteReference w:id="6"/>
      </w:r>
      <w:r w:rsidRPr="005317C5">
        <w:rPr>
          <w:rFonts w:ascii="Bookman Old Style" w:hAnsi="Bookman Old Style"/>
          <w:lang w:val="sv-SE"/>
        </w:rPr>
        <w:t xml:space="preserve"> Menurut Widiawati, Sugiman dan Edy, gadget merupakan alat yang canggih yang diciptakan dengan berbagai aplikasi yang dapat menyajikan berbagai media berita, jaringan sosial, hobi dan hiburan</w:t>
      </w:r>
      <w:r w:rsidRPr="005317C5">
        <w:rPr>
          <w:rStyle w:val="FootnoteReference"/>
          <w:rFonts w:ascii="Bookman Old Style" w:hAnsi="Bookman Old Style"/>
        </w:rPr>
        <w:footnoteReference w:id="7"/>
      </w:r>
      <w:r w:rsidRPr="005317C5">
        <w:rPr>
          <w:rFonts w:ascii="Bookman Old Style" w:hAnsi="Bookman Old Style"/>
          <w:lang w:val="sv-SE"/>
        </w:rPr>
        <w:t xml:space="preserve">. Hal serupa juga dikemukakan oleh Jati dan Herawati yang mengatakan bahwa gadget adalah media yang dipakai sebagai alat komunikasi </w:t>
      </w:r>
      <w:r w:rsidRPr="005317C5">
        <w:rPr>
          <w:rFonts w:ascii="Bookman Old Style" w:hAnsi="Bookman Old Style"/>
          <w:i/>
          <w:lang w:val="sv-SE"/>
        </w:rPr>
        <w:t>modern</w:t>
      </w:r>
      <w:r w:rsidRPr="005317C5">
        <w:rPr>
          <w:rFonts w:ascii="Bookman Old Style" w:hAnsi="Bookman Old Style"/>
          <w:lang w:val="sv-SE"/>
        </w:rPr>
        <w:t xml:space="preserve"> dan memberikan kemudahan bagi manusia</w:t>
      </w:r>
      <w:r w:rsidRPr="005317C5">
        <w:rPr>
          <w:rStyle w:val="FootnoteReference"/>
          <w:rFonts w:ascii="Bookman Old Style" w:hAnsi="Bookman Old Style"/>
        </w:rPr>
        <w:footnoteReference w:id="8"/>
      </w:r>
      <w:r w:rsidRPr="005317C5">
        <w:rPr>
          <w:rFonts w:ascii="Bookman Old Style" w:hAnsi="Bookman Old Style"/>
          <w:lang w:val="sv-SE"/>
        </w:rPr>
        <w:t xml:space="preserve">. </w:t>
      </w:r>
    </w:p>
    <w:p w14:paraId="5AFC61C4"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Dari beberapa uraian di atas tentang defenisi gadget maka dapat disimpulkan bahwa gadget adalah alat komunikasi </w:t>
      </w:r>
      <w:r w:rsidRPr="005317C5">
        <w:rPr>
          <w:rFonts w:ascii="Bookman Old Style" w:hAnsi="Bookman Old Style"/>
          <w:i/>
          <w:lang w:val="sv-SE"/>
        </w:rPr>
        <w:t>modern</w:t>
      </w:r>
      <w:r w:rsidRPr="005317C5">
        <w:rPr>
          <w:rFonts w:ascii="Bookman Old Style" w:hAnsi="Bookman Old Style"/>
          <w:lang w:val="sv-SE"/>
        </w:rPr>
        <w:t xml:space="preserve"> yang memiliki fungsi serta fitur yang memudahkan manusia dalam kehidupan sehari-harinya untuk mengakses berbagai informasi.</w:t>
      </w:r>
    </w:p>
    <w:p w14:paraId="3133289C" w14:textId="77777777" w:rsidR="006314E1" w:rsidRDefault="006314E1" w:rsidP="00EE6B89">
      <w:pPr>
        <w:widowControl/>
        <w:spacing w:after="0" w:line="360" w:lineRule="auto"/>
        <w:jc w:val="both"/>
        <w:rPr>
          <w:rFonts w:ascii="Bookman Old Style" w:hAnsi="Bookman Old Style"/>
          <w:b/>
        </w:rPr>
      </w:pPr>
    </w:p>
    <w:p w14:paraId="1F3F8927" w14:textId="550B651F" w:rsidR="00EE6B89" w:rsidRPr="005317C5" w:rsidRDefault="00EE6B89" w:rsidP="00EE6B89">
      <w:pPr>
        <w:widowControl/>
        <w:spacing w:after="0" w:line="360" w:lineRule="auto"/>
        <w:jc w:val="both"/>
        <w:rPr>
          <w:rFonts w:ascii="Bookman Old Style" w:hAnsi="Bookman Old Style"/>
        </w:rPr>
      </w:pPr>
      <w:r w:rsidRPr="005317C5">
        <w:rPr>
          <w:rFonts w:ascii="Bookman Old Style" w:hAnsi="Bookman Old Style"/>
          <w:b/>
        </w:rPr>
        <w:t>Dampak</w:t>
      </w:r>
      <w:r w:rsidRPr="005317C5">
        <w:rPr>
          <w:rFonts w:ascii="Bookman Old Style" w:hAnsi="Bookman Old Style"/>
        </w:rPr>
        <w:t xml:space="preserve"> </w:t>
      </w:r>
      <w:r w:rsidRPr="005317C5">
        <w:rPr>
          <w:rFonts w:ascii="Bookman Old Style" w:hAnsi="Bookman Old Style"/>
          <w:b/>
        </w:rPr>
        <w:t>Penggunaan Gadget</w:t>
      </w:r>
    </w:p>
    <w:p w14:paraId="637D54B0"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Penggunaan Gadget tentu memiliki dampak positif dan negatif bagi penggunanya. Dengan banyaknya penggunaan gadget di kalangan masyarakat, maka tentu mempunyai dampak positif dan negatif terhadap kehidupan</w:t>
      </w:r>
      <w:r w:rsidRPr="005317C5">
        <w:rPr>
          <w:rStyle w:val="FootnoteReference"/>
          <w:rFonts w:ascii="Bookman Old Style" w:hAnsi="Bookman Old Style"/>
        </w:rPr>
        <w:footnoteReference w:id="9"/>
      </w:r>
      <w:r w:rsidRPr="005317C5">
        <w:rPr>
          <w:rFonts w:ascii="Bookman Old Style" w:hAnsi="Bookman Old Style"/>
          <w:lang w:val="sv-SE"/>
        </w:rPr>
        <w:t xml:space="preserve">. Dampak positifnya adalah memberikan kemudahan bagi seseorang untuk mendapatkan informasi, </w:t>
      </w:r>
      <w:r w:rsidRPr="005317C5">
        <w:rPr>
          <w:rFonts w:ascii="Bookman Old Style" w:hAnsi="Bookman Old Style"/>
          <w:lang w:val="sv-SE"/>
        </w:rPr>
        <w:lastRenderedPageBreak/>
        <w:t>memberikan hiburan, edukasi dan mampu meningkatkan kreatifitas. Penggunaan Gadget juga dapat menambah ilmu pengetahuan karena kita dapat mengakses berbagai informasi, mempermudah komunikasi serta memperluas jaringan pertemanan. Akan tetapi dampak negatif tak bisa dipungkiri yang bisa berimbas terhadap kesehatan fisik, mental/psikis, sosial, dan perkembangan. Dampak yang muncul tidak terlepas dari bagaimana peran orang tua, keluarga dan lingkungan. Kecanduan gadget atau internet pada seseorang dapat dikendalikan oleh orang tua, karena orang tua adalah pengajar terbaik untuk membimbing dan mendidik anaknya</w:t>
      </w:r>
      <w:r w:rsidRPr="005317C5">
        <w:rPr>
          <w:rStyle w:val="FootnoteReference"/>
          <w:rFonts w:ascii="Bookman Old Style" w:hAnsi="Bookman Old Style"/>
        </w:rPr>
        <w:footnoteReference w:id="10"/>
      </w:r>
      <w:r w:rsidRPr="005317C5">
        <w:rPr>
          <w:rFonts w:ascii="Bookman Old Style" w:hAnsi="Bookman Old Style"/>
          <w:lang w:val="sv-SE"/>
        </w:rPr>
        <w:t xml:space="preserve">, diri sendiri bahkan jika memungkin dibutuhkan bantuan dari orang yang profesional. Selain itu, dampak negatif dari penggunaan gadget adalah menjadikan gadget sebagai media judi online. Selain itu, dampak negatif dari gadget atau yang juga cukup dikenal dengan sebutan </w:t>
      </w:r>
      <w:r w:rsidRPr="005317C5">
        <w:rPr>
          <w:rFonts w:ascii="Bookman Old Style" w:hAnsi="Bookman Old Style"/>
          <w:i/>
          <w:lang w:val="sv-SE"/>
        </w:rPr>
        <w:t>smartphone</w:t>
      </w:r>
      <w:r w:rsidRPr="005317C5">
        <w:rPr>
          <w:rFonts w:ascii="Bookman Old Style" w:hAnsi="Bookman Old Style"/>
          <w:lang w:val="sv-SE"/>
        </w:rPr>
        <w:t>, diantaranya</w:t>
      </w:r>
      <w:r w:rsidRPr="005317C5">
        <w:rPr>
          <w:rStyle w:val="FootnoteReference"/>
          <w:rFonts w:ascii="Bookman Old Style" w:hAnsi="Bookman Old Style"/>
        </w:rPr>
        <w:footnoteReference w:id="11"/>
      </w:r>
      <w:r w:rsidRPr="005317C5">
        <w:rPr>
          <w:rFonts w:ascii="Bookman Old Style" w:hAnsi="Bookman Old Style"/>
          <w:lang w:val="sv-SE"/>
        </w:rPr>
        <w:t>:</w:t>
      </w:r>
    </w:p>
    <w:p w14:paraId="5A26D4A1" w14:textId="77777777" w:rsidR="00EE6B89" w:rsidRPr="005317C5" w:rsidRDefault="00EE6B89" w:rsidP="00EE6B89">
      <w:pPr>
        <w:widowControl/>
        <w:numPr>
          <w:ilvl w:val="0"/>
          <w:numId w:val="2"/>
        </w:numPr>
        <w:spacing w:after="0" w:line="360" w:lineRule="auto"/>
        <w:ind w:left="851" w:hanging="284"/>
        <w:jc w:val="both"/>
        <w:rPr>
          <w:rFonts w:ascii="Bookman Old Style" w:hAnsi="Bookman Old Style"/>
        </w:rPr>
      </w:pPr>
      <w:r w:rsidRPr="005317C5">
        <w:rPr>
          <w:rFonts w:ascii="Bookman Old Style" w:hAnsi="Bookman Old Style"/>
          <w:i/>
        </w:rPr>
        <w:t>Phubbing</w:t>
      </w:r>
    </w:p>
    <w:p w14:paraId="1EB80586" w14:textId="77777777" w:rsidR="00EE6B89" w:rsidRPr="005317C5" w:rsidRDefault="00EE6B89" w:rsidP="00EE6B89">
      <w:pPr>
        <w:spacing w:after="0" w:line="360" w:lineRule="auto"/>
        <w:ind w:left="851"/>
        <w:jc w:val="both"/>
        <w:rPr>
          <w:rFonts w:ascii="Bookman Old Style" w:hAnsi="Bookman Old Style"/>
        </w:rPr>
      </w:pPr>
      <w:r w:rsidRPr="005317C5">
        <w:rPr>
          <w:rFonts w:ascii="Bookman Old Style" w:hAnsi="Bookman Old Style"/>
          <w:i/>
        </w:rPr>
        <w:t>Phubbing</w:t>
      </w:r>
      <w:r w:rsidRPr="005317C5">
        <w:rPr>
          <w:rFonts w:ascii="Bookman Old Style" w:hAnsi="Bookman Old Style"/>
        </w:rPr>
        <w:t xml:space="preserve"> merupakan istilah yang merujuk pada sikap acuh tak acuh terhadap lingkungan atau orang sekitarnya disebabkan oleh karena sibuk dengan gawainya.</w:t>
      </w:r>
    </w:p>
    <w:p w14:paraId="14B8A1C6" w14:textId="77777777" w:rsidR="00EE6B89" w:rsidRPr="005317C5" w:rsidRDefault="00EE6B89" w:rsidP="00EE6B89">
      <w:pPr>
        <w:widowControl/>
        <w:numPr>
          <w:ilvl w:val="0"/>
          <w:numId w:val="2"/>
        </w:numPr>
        <w:spacing w:after="0" w:line="360" w:lineRule="auto"/>
        <w:ind w:left="851" w:hanging="284"/>
        <w:jc w:val="both"/>
        <w:rPr>
          <w:rFonts w:ascii="Bookman Old Style" w:hAnsi="Bookman Old Style"/>
        </w:rPr>
      </w:pPr>
      <w:r w:rsidRPr="005317C5">
        <w:rPr>
          <w:rFonts w:ascii="Bookman Old Style" w:hAnsi="Bookman Old Style"/>
        </w:rPr>
        <w:t>Menurunnya komunikasi interpersonal</w:t>
      </w:r>
    </w:p>
    <w:p w14:paraId="0A22F656" w14:textId="6375C1C2" w:rsidR="00EE6B89" w:rsidRPr="005317C5" w:rsidRDefault="00EE6B89" w:rsidP="00EE6B89">
      <w:pPr>
        <w:spacing w:after="0" w:line="360" w:lineRule="auto"/>
        <w:ind w:left="851"/>
        <w:jc w:val="both"/>
        <w:rPr>
          <w:rFonts w:ascii="Bookman Old Style" w:hAnsi="Bookman Old Style"/>
          <w:lang w:val="sv-SE"/>
        </w:rPr>
      </w:pPr>
      <w:r w:rsidRPr="005317C5">
        <w:rPr>
          <w:rFonts w:ascii="Bookman Old Style" w:hAnsi="Bookman Old Style"/>
        </w:rPr>
        <w:t xml:space="preserve">Akibat terlalu sibuk dan fokus utamanya adalah gawai maka komunikasi interpersonal yang merupakan pertemuan dari paling sedikit dua orang dan komunikasi tersebut memunculkan keaktifan serta </w:t>
      </w:r>
      <w:r w:rsidRPr="005317C5">
        <w:rPr>
          <w:rFonts w:ascii="Bookman Old Style" w:hAnsi="Bookman Old Style"/>
          <w:i/>
        </w:rPr>
        <w:t>feedback</w:t>
      </w:r>
      <w:r w:rsidRPr="005317C5">
        <w:rPr>
          <w:rFonts w:ascii="Bookman Old Style" w:hAnsi="Bookman Old Style"/>
        </w:rPr>
        <w:t xml:space="preserve"> dari kedua pihak menjadi menurun. </w:t>
      </w:r>
      <w:r w:rsidRPr="005317C5">
        <w:rPr>
          <w:rFonts w:ascii="Bookman Old Style" w:hAnsi="Bookman Old Style"/>
          <w:lang w:val="sv-SE"/>
        </w:rPr>
        <w:t>Dimana komunikasi interpersonal merupakan interaksi yang di dalamnya terdapat pertukran isyarat verbal dan nonverbal</w:t>
      </w:r>
      <w:r w:rsidRPr="005317C5">
        <w:rPr>
          <w:rStyle w:val="FootnoteReference"/>
          <w:rFonts w:ascii="Bookman Old Style" w:hAnsi="Bookman Old Style"/>
        </w:rPr>
        <w:footnoteReference w:id="12"/>
      </w:r>
    </w:p>
    <w:p w14:paraId="7A50E6B4" w14:textId="77777777" w:rsidR="00EE6B89" w:rsidRPr="005317C5" w:rsidRDefault="00EE6B89" w:rsidP="00EE6B89">
      <w:pPr>
        <w:widowControl/>
        <w:numPr>
          <w:ilvl w:val="0"/>
          <w:numId w:val="2"/>
        </w:numPr>
        <w:spacing w:after="0" w:line="360" w:lineRule="auto"/>
        <w:ind w:left="851" w:hanging="284"/>
        <w:jc w:val="both"/>
        <w:rPr>
          <w:rFonts w:ascii="Bookman Old Style" w:hAnsi="Bookman Old Style"/>
        </w:rPr>
      </w:pPr>
      <w:r w:rsidRPr="005317C5">
        <w:rPr>
          <w:rFonts w:ascii="Bookman Old Style" w:hAnsi="Bookman Old Style"/>
        </w:rPr>
        <w:t xml:space="preserve">Narsis </w:t>
      </w:r>
    </w:p>
    <w:p w14:paraId="0CAF80B4" w14:textId="77777777" w:rsidR="00EE6B89" w:rsidRPr="005317C5" w:rsidRDefault="00EE6B89" w:rsidP="00EE6B89">
      <w:pPr>
        <w:spacing w:after="0" w:line="360" w:lineRule="auto"/>
        <w:ind w:left="851"/>
        <w:jc w:val="both"/>
        <w:rPr>
          <w:rFonts w:ascii="Bookman Old Style" w:hAnsi="Bookman Old Style"/>
        </w:rPr>
      </w:pPr>
      <w:r w:rsidRPr="005317C5">
        <w:rPr>
          <w:rFonts w:ascii="Bookman Old Style" w:hAnsi="Bookman Old Style"/>
        </w:rPr>
        <w:t xml:space="preserve">Narsis atau kebiasaan mengabadikan setiap momen bukanlah sebuah masalah akan tetapi jika perilaku itu berlebihan akan menimbulkan sebuah gangguan yang dikenal dengan </w:t>
      </w:r>
      <w:r w:rsidRPr="005317C5">
        <w:rPr>
          <w:rFonts w:ascii="Bookman Old Style" w:hAnsi="Bookman Old Style"/>
          <w:i/>
        </w:rPr>
        <w:t>narsistik</w:t>
      </w:r>
      <w:r w:rsidRPr="005317C5">
        <w:rPr>
          <w:rFonts w:ascii="Bookman Old Style" w:hAnsi="Bookman Old Style"/>
        </w:rPr>
        <w:t>.</w:t>
      </w:r>
    </w:p>
    <w:p w14:paraId="43E92FDD" w14:textId="77777777" w:rsidR="00EE6B89" w:rsidRPr="005317C5" w:rsidRDefault="00EE6B89" w:rsidP="00EE6B89">
      <w:pPr>
        <w:widowControl/>
        <w:numPr>
          <w:ilvl w:val="0"/>
          <w:numId w:val="2"/>
        </w:numPr>
        <w:spacing w:after="0" w:line="360" w:lineRule="auto"/>
        <w:ind w:left="851" w:hanging="284"/>
        <w:jc w:val="both"/>
        <w:rPr>
          <w:rFonts w:ascii="Bookman Old Style" w:hAnsi="Bookman Old Style"/>
        </w:rPr>
      </w:pPr>
      <w:r w:rsidRPr="005317C5">
        <w:rPr>
          <w:rFonts w:ascii="Bookman Old Style" w:hAnsi="Bookman Old Style"/>
        </w:rPr>
        <w:t>Ketergantungan/kecanduan</w:t>
      </w:r>
    </w:p>
    <w:p w14:paraId="63DE0D25" w14:textId="77777777" w:rsidR="00EE6B89" w:rsidRPr="005317C5" w:rsidRDefault="00EE6B89" w:rsidP="00EE6B89">
      <w:pPr>
        <w:spacing w:after="0" w:line="360" w:lineRule="auto"/>
        <w:ind w:left="851"/>
        <w:jc w:val="both"/>
        <w:rPr>
          <w:rFonts w:ascii="Bookman Old Style" w:hAnsi="Bookman Old Style"/>
          <w:lang w:val="sv-SE"/>
        </w:rPr>
      </w:pPr>
      <w:r w:rsidRPr="005317C5">
        <w:rPr>
          <w:rFonts w:ascii="Bookman Old Style" w:hAnsi="Bookman Old Style"/>
        </w:rPr>
        <w:t xml:space="preserve">Kecanduan gawai menimbulkan banyak dampak negatif terhadap penggunaannya, terlebih jika penggunanya masih dibawa umur. </w:t>
      </w:r>
      <w:r w:rsidRPr="005317C5">
        <w:rPr>
          <w:rFonts w:ascii="Bookman Old Style" w:hAnsi="Bookman Old Style"/>
          <w:lang w:val="sv-SE"/>
        </w:rPr>
        <w:t xml:space="preserve">Salah satu dampak negatifnya adalah bermasalah dalam hal interaksi (sosial, keluarga, </w:t>
      </w:r>
      <w:r w:rsidRPr="005317C5">
        <w:rPr>
          <w:rFonts w:ascii="Bookman Old Style" w:hAnsi="Bookman Old Style"/>
          <w:lang w:val="sv-SE"/>
        </w:rPr>
        <w:lastRenderedPageBreak/>
        <w:t>dan teman sebaya), penurunan kualitas kognitif, biologis/fisik, dan mental.</w:t>
      </w:r>
    </w:p>
    <w:p w14:paraId="58AB38CE" w14:textId="77777777" w:rsidR="00EE6B89" w:rsidRPr="005317C5" w:rsidRDefault="00EE6B89" w:rsidP="00EE6B89">
      <w:pPr>
        <w:widowControl/>
        <w:numPr>
          <w:ilvl w:val="0"/>
          <w:numId w:val="2"/>
        </w:numPr>
        <w:spacing w:after="0" w:line="360" w:lineRule="auto"/>
        <w:ind w:left="851" w:hanging="284"/>
        <w:jc w:val="both"/>
        <w:rPr>
          <w:rFonts w:ascii="Bookman Old Style" w:hAnsi="Bookman Old Style"/>
        </w:rPr>
      </w:pPr>
      <w:r w:rsidRPr="005317C5">
        <w:rPr>
          <w:rFonts w:ascii="Bookman Old Style" w:hAnsi="Bookman Old Style"/>
        </w:rPr>
        <w:t xml:space="preserve">Masalah Kesehatan </w:t>
      </w:r>
    </w:p>
    <w:p w14:paraId="3BAF140C" w14:textId="77777777" w:rsidR="00EE6B89" w:rsidRPr="005317C5" w:rsidRDefault="00EE6B89" w:rsidP="00EE6B89">
      <w:pPr>
        <w:spacing w:after="0" w:line="360" w:lineRule="auto"/>
        <w:ind w:left="851"/>
        <w:jc w:val="both"/>
        <w:rPr>
          <w:rFonts w:ascii="Bookman Old Style" w:hAnsi="Bookman Old Style"/>
          <w:lang w:val="sv-SE"/>
        </w:rPr>
      </w:pPr>
      <w:r w:rsidRPr="005317C5">
        <w:rPr>
          <w:rFonts w:ascii="Bookman Old Style" w:hAnsi="Bookman Old Style"/>
          <w:lang w:val="sv-SE"/>
        </w:rPr>
        <w:t>Dampak negatif yang sering muncul adalah resiko terkena radiasi karena pancaran sinar layar yang membahayakan kesehatan.</w:t>
      </w:r>
    </w:p>
    <w:p w14:paraId="77460A70" w14:textId="77777777" w:rsidR="006314E1" w:rsidRDefault="006314E1" w:rsidP="00EE6B89">
      <w:pPr>
        <w:widowControl/>
        <w:spacing w:after="0" w:line="360" w:lineRule="auto"/>
        <w:jc w:val="both"/>
        <w:rPr>
          <w:rFonts w:ascii="Bookman Old Style" w:hAnsi="Bookman Old Style"/>
          <w:b/>
        </w:rPr>
      </w:pPr>
    </w:p>
    <w:p w14:paraId="46A0E8B3" w14:textId="2C489342" w:rsidR="00EE6B89" w:rsidRPr="005317C5" w:rsidRDefault="00EE6B89" w:rsidP="00EE6B89">
      <w:pPr>
        <w:widowControl/>
        <w:spacing w:after="0" w:line="360" w:lineRule="auto"/>
        <w:jc w:val="both"/>
        <w:rPr>
          <w:rFonts w:ascii="Bookman Old Style" w:hAnsi="Bookman Old Style"/>
          <w:b/>
        </w:rPr>
      </w:pPr>
      <w:r w:rsidRPr="005317C5">
        <w:rPr>
          <w:rFonts w:ascii="Bookman Old Style" w:hAnsi="Bookman Old Style"/>
          <w:b/>
        </w:rPr>
        <w:t>Pandangan Gereja Terhadap Penggunaan Gadget</w:t>
      </w:r>
    </w:p>
    <w:p w14:paraId="260BFACA" w14:textId="77777777" w:rsidR="00EE6B89" w:rsidRPr="005317C5" w:rsidRDefault="00EE6B89" w:rsidP="00EE6B89">
      <w:pPr>
        <w:spacing w:after="0" w:line="360" w:lineRule="auto"/>
        <w:ind w:firstLine="720"/>
        <w:jc w:val="both"/>
        <w:rPr>
          <w:rFonts w:ascii="Bookman Old Style" w:hAnsi="Bookman Old Style"/>
          <w:b/>
          <w:lang w:val="sv-SE"/>
        </w:rPr>
      </w:pPr>
      <w:r w:rsidRPr="005317C5">
        <w:rPr>
          <w:rFonts w:ascii="Bookman Old Style" w:hAnsi="Bookman Old Style"/>
          <w:lang w:val="sv-SE"/>
        </w:rPr>
        <w:t xml:space="preserve">Kemajuan di bidang teknologi informasi terutama dalam penggunaan gadget dan juga pengaruh media sosial tentu tidak terlepas dari peran gereja yang harus memikirkan dan mengambil peran sebagai garam dan terang dunia dengan tetap menjalankan fungsinya. Saat ini penggunaan gadget atau dunia-dunia virtual memiliki potensi penyalahgunaan yang memberikan pengaruh negatif namum gereja harus memiliki cara pandang yang baru dan berbeda dengan membangun komunikasi, komunitas dan juga pemuridan melalui penggunaan gadget. Kemajuan teknologi memiliki peranan yang sangat besar bagi masyarakat karena itu gereja tidak boleh kehilangan sikap kritisnya terhadap lingkungan dimana ia berada. Gereja juga menggunakan gadjet itu untuk menyatakan pelayanan yang lebih seperti menyediakan layanan internet dalam kegiatan kesekretariatan seperti memiliki alamat website, email bahkan juga ada beberapa yang memiliki media sosial seperti Facebook, Instagram, Whatsapp dan juga penggunaan multimedia dalam penggunaan setiap liturgi. </w:t>
      </w:r>
    </w:p>
    <w:p w14:paraId="34A0D01B" w14:textId="77777777" w:rsidR="00EE6B89" w:rsidRPr="005317C5" w:rsidRDefault="00EE6B89" w:rsidP="00EE6B89">
      <w:pPr>
        <w:spacing w:after="0" w:line="360" w:lineRule="auto"/>
        <w:ind w:firstLine="720"/>
        <w:jc w:val="both"/>
        <w:rPr>
          <w:rFonts w:ascii="Bookman Old Style" w:hAnsi="Bookman Old Style"/>
          <w:b/>
          <w:lang w:val="sv-SE"/>
        </w:rPr>
      </w:pPr>
      <w:r w:rsidRPr="005317C5">
        <w:rPr>
          <w:rFonts w:ascii="Bookman Old Style" w:hAnsi="Bookman Old Style"/>
          <w:lang w:val="sv-SE"/>
        </w:rPr>
        <w:t xml:space="preserve">Menurut Kardinal Avery Dulles mengatakan bahwa gereja memiliki beberapa model panggilan diantaranya: pertama </w:t>
      </w:r>
      <w:r w:rsidRPr="005317C5">
        <w:rPr>
          <w:rFonts w:ascii="Bookman Old Style" w:hAnsi="Bookman Old Style"/>
          <w:i/>
          <w:lang w:val="sv-SE"/>
        </w:rPr>
        <w:t xml:space="preserve">institution </w:t>
      </w:r>
      <w:r w:rsidRPr="005317C5">
        <w:rPr>
          <w:rFonts w:ascii="Bookman Old Style" w:hAnsi="Bookman Old Style"/>
          <w:lang w:val="sv-SE"/>
        </w:rPr>
        <w:t>yakni</w:t>
      </w:r>
      <w:r w:rsidRPr="005317C5">
        <w:rPr>
          <w:rFonts w:ascii="Bookman Old Style" w:hAnsi="Bookman Old Style"/>
          <w:i/>
          <w:lang w:val="sv-SE"/>
        </w:rPr>
        <w:t xml:space="preserve"> </w:t>
      </w:r>
      <w:r w:rsidRPr="005317C5">
        <w:rPr>
          <w:rFonts w:ascii="Bookman Old Style" w:hAnsi="Bookman Old Style"/>
          <w:lang w:val="sv-SE"/>
        </w:rPr>
        <w:t>sebagai sebuah wadah yang memiliki tujuan tertentu sebagai sebuah gereja dengan tujuan yang tertinggi yang sesuai dengan keinginan Allah</w:t>
      </w:r>
      <w:r w:rsidRPr="005317C5">
        <w:rPr>
          <w:rFonts w:ascii="Bookman Old Style" w:hAnsi="Bookman Old Style"/>
          <w:i/>
          <w:lang w:val="sv-SE"/>
        </w:rPr>
        <w:t>.</w:t>
      </w:r>
      <w:r w:rsidRPr="005317C5">
        <w:rPr>
          <w:rFonts w:ascii="Bookman Old Style" w:hAnsi="Bookman Old Style"/>
          <w:lang w:val="sv-SE"/>
        </w:rPr>
        <w:t xml:space="preserve"> Kedua,</w:t>
      </w:r>
      <w:r w:rsidRPr="005317C5">
        <w:rPr>
          <w:rFonts w:ascii="Bookman Old Style" w:hAnsi="Bookman Old Style"/>
          <w:i/>
          <w:lang w:val="sv-SE"/>
        </w:rPr>
        <w:t xml:space="preserve"> church as mystical communion </w:t>
      </w:r>
      <w:r w:rsidRPr="005317C5">
        <w:rPr>
          <w:rFonts w:ascii="Bookman Old Style" w:hAnsi="Bookman Old Style"/>
          <w:lang w:val="sv-SE"/>
        </w:rPr>
        <w:t>yakni gereja dipahami sebagai komunitas orang beriman yang terhubung dengan Roh yang dianggap sebagai tujuan utama gereja.</w:t>
      </w:r>
      <w:r w:rsidRPr="005317C5">
        <w:rPr>
          <w:rFonts w:ascii="Bookman Old Style" w:hAnsi="Bookman Old Style"/>
          <w:i/>
          <w:lang w:val="sv-SE"/>
        </w:rPr>
        <w:t xml:space="preserve"> </w:t>
      </w:r>
      <w:r w:rsidRPr="005317C5">
        <w:rPr>
          <w:rFonts w:ascii="Bookman Old Style" w:hAnsi="Bookman Old Style"/>
          <w:lang w:val="sv-SE"/>
        </w:rPr>
        <w:t xml:space="preserve">Ketiga, </w:t>
      </w:r>
      <w:r w:rsidRPr="005317C5">
        <w:rPr>
          <w:rFonts w:ascii="Bookman Old Style" w:hAnsi="Bookman Old Style"/>
          <w:i/>
          <w:lang w:val="sv-SE"/>
        </w:rPr>
        <w:t xml:space="preserve">church as sacrament </w:t>
      </w:r>
      <w:r w:rsidRPr="005317C5">
        <w:rPr>
          <w:rFonts w:ascii="Bookman Old Style" w:hAnsi="Bookman Old Style"/>
          <w:lang w:val="sv-SE"/>
        </w:rPr>
        <w:t>adalah suatu konsep yang menggambarkan kehidupan dan misi gereja sebagai sakramen yang menggambarkan hubungan ontologis dengan Kristus yang dianggap sebagai sakramen Allah.</w:t>
      </w:r>
      <w:r w:rsidRPr="005317C5">
        <w:rPr>
          <w:rFonts w:ascii="Bookman Old Style" w:hAnsi="Bookman Old Style"/>
          <w:i/>
          <w:lang w:val="sv-SE"/>
        </w:rPr>
        <w:t xml:space="preserve"> </w:t>
      </w:r>
      <w:r w:rsidRPr="005317C5">
        <w:rPr>
          <w:rFonts w:ascii="Bookman Old Style" w:hAnsi="Bookman Old Style"/>
          <w:lang w:val="sv-SE"/>
        </w:rPr>
        <w:t xml:space="preserve">Keempat, </w:t>
      </w:r>
      <w:r w:rsidRPr="005317C5">
        <w:rPr>
          <w:rFonts w:ascii="Bookman Old Style" w:hAnsi="Bookman Old Style"/>
          <w:i/>
          <w:lang w:val="sv-SE"/>
        </w:rPr>
        <w:t xml:space="preserve">church as herald </w:t>
      </w:r>
      <w:r w:rsidRPr="005317C5">
        <w:rPr>
          <w:rFonts w:ascii="Bookman Old Style" w:hAnsi="Bookman Old Style"/>
          <w:lang w:val="sv-SE"/>
        </w:rPr>
        <w:t>adalah model yang menggambarkan gereja sebagai herald atau pesawat pemberitahuan Allah dimana gereja dianggap sebagai pesawat pemberitahuan yang dilengkapi dengan kesan dan pengaruh yang kuat untuk mengumpulkan orang-orang beriman</w:t>
      </w:r>
      <w:r w:rsidRPr="005317C5">
        <w:rPr>
          <w:rFonts w:ascii="Bookman Old Style" w:hAnsi="Bookman Old Style"/>
          <w:i/>
          <w:lang w:val="sv-SE"/>
        </w:rPr>
        <w:t xml:space="preserve"> </w:t>
      </w:r>
      <w:r w:rsidRPr="005317C5">
        <w:rPr>
          <w:rFonts w:ascii="Bookman Old Style" w:hAnsi="Bookman Old Style"/>
          <w:lang w:val="sv-SE"/>
        </w:rPr>
        <w:t xml:space="preserve">dan kelima </w:t>
      </w:r>
      <w:r w:rsidRPr="005317C5">
        <w:rPr>
          <w:rFonts w:ascii="Bookman Old Style" w:hAnsi="Bookman Old Style"/>
          <w:i/>
          <w:lang w:val="sv-SE"/>
        </w:rPr>
        <w:t xml:space="preserve">church as servant </w:t>
      </w:r>
      <w:r w:rsidRPr="005317C5">
        <w:rPr>
          <w:rFonts w:ascii="Bookman Old Style" w:hAnsi="Bookman Old Style"/>
          <w:lang w:val="sv-SE"/>
        </w:rPr>
        <w:t xml:space="preserve">yaitu model yang menggambarkan gereja sebagai pelayan atau hamba. Gereja dipahami sebagai tempat yang menghidupkan harapan dan aspirasi manusia mengenai Kerajaan Allah, sebagai tempat hadirnya </w:t>
      </w:r>
      <w:r w:rsidRPr="005317C5">
        <w:rPr>
          <w:rFonts w:ascii="Bookman Old Style" w:hAnsi="Bookman Old Style"/>
          <w:lang w:val="sv-SE"/>
        </w:rPr>
        <w:lastRenderedPageBreak/>
        <w:t>kasih, damai, keadilan dan pembebasan dari kemiskinan, penindasan serta dosa</w:t>
      </w:r>
      <w:r w:rsidRPr="005317C5">
        <w:rPr>
          <w:rFonts w:ascii="Bookman Old Style" w:hAnsi="Bookman Old Style"/>
          <w:i/>
          <w:lang w:val="sv-SE"/>
        </w:rPr>
        <w:t>.</w:t>
      </w:r>
      <w:r w:rsidRPr="005317C5">
        <w:rPr>
          <w:rFonts w:ascii="Bookman Old Style" w:hAnsi="Bookman Old Style"/>
          <w:lang w:val="sv-SE"/>
        </w:rPr>
        <w:t xml:space="preserve"> Gereja dianggap sebagai pelayan yang melanjutkan misi Yesus.</w:t>
      </w:r>
      <w:r w:rsidRPr="005317C5">
        <w:rPr>
          <w:rStyle w:val="FootnoteReference"/>
          <w:rFonts w:ascii="Bookman Old Style" w:hAnsi="Bookman Old Style"/>
          <w:i/>
        </w:rPr>
        <w:footnoteReference w:id="13"/>
      </w:r>
    </w:p>
    <w:p w14:paraId="185C628B"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Dengan adanya perkembangan teknologi maka gereja harus dengan bijak mengambil peranan sebagai penatalayanan yang cakap demi terlaksananya pemberitaan Amanat Agung di era digital. Perkembangan teknologi atau yang disebut dengan istilah teknologifikasi gereja dimana dalam perkembangan teknologi itu paling banyak digunakan adalah penggunaan gadget yakni alat canggih yang diciptakan dengan berbagai aplikasi yang dapat menyajikan berbagai media berita, jaringan sosial, hobi dan hiburan yang tentu ini akan banyak mencuri waktu dan juga mengambil alih kehidupan manusia. </w:t>
      </w:r>
    </w:p>
    <w:p w14:paraId="2B3D33F5"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Tentu hal ini menjadi tantangan yang sangat besar karena gereja baik itu pelayan Firman dan juga individu dalam jemaat memanfaatkan penggunaan gadget itu dalam memenuhi panggilan ekklesiologis-misionalnya yakni yang pertama: </w:t>
      </w:r>
      <w:r w:rsidRPr="005317C5">
        <w:rPr>
          <w:rFonts w:ascii="Bookman Old Style" w:hAnsi="Bookman Old Style"/>
          <w:i/>
          <w:lang w:val="sv-SE"/>
        </w:rPr>
        <w:t xml:space="preserve">Technology Enables Communication, </w:t>
      </w:r>
      <w:r w:rsidRPr="005317C5">
        <w:rPr>
          <w:rFonts w:ascii="Bookman Old Style" w:hAnsi="Bookman Old Style"/>
          <w:lang w:val="sv-SE"/>
        </w:rPr>
        <w:t xml:space="preserve">melalui penggunaan gadget seperti aplikasi yang ditawarkan yakni WA,FB (messenger), Twitter, Telegram dan Blog seharusnya dapat menjadi wadah untuk membangun komunikasi secara langsung di jemaat disepanjang hari. Melalui penggunaan gadget tersebut informasi akan lebih mudah didapatkan oleh orang lain dan juga dapat digunakan untuk memberikan renungan-renungan harian dalam grub-grub yang ada. Dalam hal ini berarti bahwa penggunaan gadget membuat jemaat memiliki komunikasi langsung dalam skala yang lebih luas dan lebih jelas. Yang kedua, </w:t>
      </w:r>
      <w:r w:rsidRPr="005317C5">
        <w:rPr>
          <w:rFonts w:ascii="Bookman Old Style" w:hAnsi="Bookman Old Style"/>
          <w:i/>
          <w:lang w:val="sv-SE"/>
        </w:rPr>
        <w:t xml:space="preserve">Technology Enables Community, </w:t>
      </w:r>
      <w:r w:rsidRPr="005317C5">
        <w:rPr>
          <w:rFonts w:ascii="Bookman Old Style" w:hAnsi="Bookman Old Style"/>
          <w:lang w:val="sv-SE"/>
        </w:rPr>
        <w:t xml:space="preserve">penggunaan teknologi gadget memungkinkan ikatan komunitas eklesiologi yang lebih besar yang tidak menuntut kedekatan secara fisik. Melalui penggunaan gadget jemaat dapat saling mendoakan satu sama dengan yang lain baik melalui komunitas atau kelompok dalam aplikasi seperti halaman Facebook gereja. Pada kenyataannya media sosial atau aplikasi yang banyak ditawarkan dalam penggunaan gadget menjadi salah satu wadah yang paling banyak digunakan untuk berinteraksi. Ini merupakan suatu market place yang akan terus berkembang dan mestinya menjadi perhatian serius bagi gereja digital. Contoh sederhananya orang-orang yang mencari kehidupan di perantauan akan menggabungkan diri dalam suatu komunitas atau halaman facebook untuk saling berinteraksi dan saling mengenal. Ketiga, </w:t>
      </w:r>
      <w:r w:rsidRPr="005317C5">
        <w:rPr>
          <w:rFonts w:ascii="Bookman Old Style" w:hAnsi="Bookman Old Style"/>
          <w:i/>
          <w:lang w:val="sv-SE"/>
        </w:rPr>
        <w:t xml:space="preserve">Technology Enables Discipleship </w:t>
      </w:r>
      <w:r w:rsidRPr="005317C5">
        <w:rPr>
          <w:rFonts w:ascii="Bookman Old Style" w:hAnsi="Bookman Old Style"/>
          <w:lang w:val="sv-SE"/>
        </w:rPr>
        <w:t xml:space="preserve">gereja dapat menggunakan gadget dengan memanfaatkan aplikasi yang ditawarkan untuk mencari </w:t>
      </w:r>
      <w:r w:rsidRPr="005317C5">
        <w:rPr>
          <w:rFonts w:ascii="Bookman Old Style" w:hAnsi="Bookman Old Style"/>
          <w:i/>
          <w:lang w:val="sv-SE"/>
        </w:rPr>
        <w:t xml:space="preserve">outline </w:t>
      </w:r>
      <w:r w:rsidRPr="005317C5">
        <w:rPr>
          <w:rFonts w:ascii="Bookman Old Style" w:hAnsi="Bookman Old Style"/>
          <w:lang w:val="sv-SE"/>
        </w:rPr>
        <w:t xml:space="preserve">kotbah, materi </w:t>
      </w:r>
      <w:r w:rsidRPr="005317C5">
        <w:rPr>
          <w:rFonts w:ascii="Bookman Old Style" w:hAnsi="Bookman Old Style"/>
          <w:lang w:val="sv-SE"/>
        </w:rPr>
        <w:lastRenderedPageBreak/>
        <w:t>pembelajaran Alkitab, diskusi isu-isu terkini dan menjadi media pengumuman gerejawi. Jadi pemanfaatan teknologi terlebih khusus dalam penggunaan gadget tidaklah menjadi tujuan utama melainkan dipakai sebagai wadah dan alat untuk meningkatkan kualitas dan aksesibilitas pemuridan masa kini untuk memungkinkan panggilan gereja dalam konteks berteologi di era teknologi digital.</w:t>
      </w:r>
      <w:r w:rsidRPr="005317C5">
        <w:rPr>
          <w:rStyle w:val="FootnoteReference"/>
          <w:rFonts w:ascii="Bookman Old Style" w:hAnsi="Bookman Old Style"/>
        </w:rPr>
        <w:footnoteReference w:id="14"/>
      </w:r>
    </w:p>
    <w:p w14:paraId="65FF0017"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Sejatinya bahwa gereja adalah wujud nyata kehadiran Allah dalam dunia ini karena itu di era digital gereja harus menyatakan eksistensinya dan memanfaatkan perkembangan itu sebagai wadah untuk menjalankan dan menuntaskan misi dalam dunia. Gereja memiliki panggilan untuk pembentukan komunitas Kristen sehingga kehadiran gadget dan aplikasi-aplikasi media yang ditawarkan dijadikan sebagai objek pelayanan untuk memelihara koneksi persekutuannya. Pemberitaan Firman akan selalu menjadi pusat panggilan gereja dan kehadiran gadget serta newest media dibentuk menjadi kerigmatis yang tetap efektif.</w:t>
      </w:r>
    </w:p>
    <w:p w14:paraId="02B35424"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Gereja abad ini memang menghadapi banyak sekali tantangan, baik itu cara berkomunikasi, menyebarkan informasi dan membangun hubungan baru. Perkembangan teknologi yang ada dan penggunaan gadget dengan berbagai media yang ditawarkan akan terus menajadi bagian yang seiring-berjalan dengan gereja berusaha menjawab berbagai tantangan di masa mendatang. Dengan semakin berkembangnya teknologi tugas utama yang tidak dapat ditinggalkan oleh gereja adalah bagaimana sebagai murid Kristus tetap mengasihi Allah dan sesama, bagaimana melayani orang miskin dan yang terpinggirkan, bagaimana membangun komunitas orang percaya, memperkuat ikatan sebagai tubuh Kristus dan memberitakan Injil di era digital.</w:t>
      </w:r>
    </w:p>
    <w:p w14:paraId="54751F8F" w14:textId="77777777" w:rsidR="006314E1" w:rsidRDefault="006314E1" w:rsidP="00EE6B89">
      <w:pPr>
        <w:widowControl/>
        <w:spacing w:after="0" w:line="360" w:lineRule="auto"/>
        <w:jc w:val="both"/>
        <w:rPr>
          <w:rFonts w:ascii="Bookman Old Style" w:hAnsi="Bookman Old Style"/>
          <w:b/>
          <w:lang w:val="sv-SE"/>
        </w:rPr>
      </w:pPr>
    </w:p>
    <w:p w14:paraId="34AF9E21" w14:textId="62118055" w:rsidR="00EE6B89" w:rsidRPr="005317C5" w:rsidRDefault="00EE6B89" w:rsidP="00EE6B89">
      <w:pPr>
        <w:widowControl/>
        <w:spacing w:after="0" w:line="360" w:lineRule="auto"/>
        <w:jc w:val="both"/>
        <w:rPr>
          <w:rFonts w:ascii="Bookman Old Style" w:hAnsi="Bookman Old Style"/>
          <w:b/>
          <w:lang w:val="sv-SE"/>
        </w:rPr>
      </w:pPr>
      <w:r w:rsidRPr="005317C5">
        <w:rPr>
          <w:rFonts w:ascii="Bookman Old Style" w:hAnsi="Bookman Old Style"/>
          <w:b/>
          <w:lang w:val="sv-SE"/>
        </w:rPr>
        <w:t>Pandangan Gereja terhadap Pengunaan Gadget dalam Kedisiplinan</w:t>
      </w:r>
    </w:p>
    <w:p w14:paraId="5052228B" w14:textId="3B8914DA"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 xml:space="preserve">Penggunaan gadget selama ibadah selalu menjadi tantangan tersendiri bagi masing-masing individu yang bersangkutan. Dalam penelitian Yunita, dkk yang menuliskan tentang fenomenan penggunaan gadget saat ibadah menunjukkan bahwa penggunaan gadget selama ibadah mengganggu kedisiplinan beribadah karena jemaat menjadi tidak fokus dan terganggu dalam menikmati hadirat Allah (mendengarkan firman Tuhan). Meski demikian, pandangan gereja terhadap penggunaan gadget dalam kedisiplinan beribadah dapat beragam tergantung pada konsteks dan tujuan </w:t>
      </w:r>
      <w:r w:rsidRPr="005317C5">
        <w:rPr>
          <w:rFonts w:ascii="Bookman Old Style" w:hAnsi="Bookman Old Style"/>
          <w:lang w:val="sv-SE"/>
        </w:rPr>
        <w:lastRenderedPageBreak/>
        <w:t>penggunaan gadget. Hasil penelitian Priscillia dan Fredik Melkias Boiliu menunjukkan bahwa pendidikan agama Kristen di keluarga, gereja dan sekolah berperan penting dalam mengajar, mendidik, mendampingi, mendisiplinkan anak dalam penggunaan teknologi serta menanamkan nilai-nilai spiritual dan moral sehingga mereka tidak terjerumus dalam arus perkembangan.</w:t>
      </w:r>
      <w:r w:rsidRPr="005317C5">
        <w:rPr>
          <w:rStyle w:val="FootnoteReference"/>
          <w:rFonts w:ascii="Bookman Old Style" w:hAnsi="Bookman Old Style"/>
        </w:rPr>
        <w:footnoteReference w:id="15"/>
      </w:r>
      <w:r w:rsidRPr="005317C5">
        <w:rPr>
          <w:rFonts w:ascii="Bookman Old Style" w:hAnsi="Bookman Old Style"/>
          <w:lang w:val="sv-SE"/>
        </w:rPr>
        <w:t xml:space="preserve"> Jadi, penggunaan gadget dapat berdampak negatif terhadap kedisiplinan dalam beribadah apabila digunakan secara berlebihan karena dapat mengurangi ketertarikan atau keintiman dalam beribadah. Olehnya, penting untuk menjaga keseimbangan antara penggunaan gadget dan kedisiplinan dalam beribadah agar kehidupan spiritual dapat tetap terjaga.</w:t>
      </w:r>
    </w:p>
    <w:p w14:paraId="7A041512"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Pengguna gadget akan selalu berdampak pada manajemen waktu yang buruk (lupa waktu). Sehingga tak jarang ditemui dalam sebuah ibadah banyak yang tak lagi menggunakan atau membawa Alkitab. Jadi yang digunakan adalah Alkitab elektronik. Manfaat Alkitab elektronik ketika beribadah memang bermanfaat dan memiliki beberapa kelebihan yakni lebih praktis dan mudah dalam pencarian ayat-ayat. Alkitab elektronik juga dapat mendeskripsikan kesimpulan dari setiap ayat Alkitab yang dapat membantu dalam pemahaman dan penghayatan firman Tuhan. Penelitian Situmorang, menjadi salah satu bukti yang menunjukkan bahwa terjadi transformasi yakni penurunan penggunaan Alkitab manual.</w:t>
      </w:r>
      <w:r w:rsidRPr="005317C5">
        <w:rPr>
          <w:rStyle w:val="FootnoteReference"/>
          <w:rFonts w:ascii="Bookman Old Style" w:hAnsi="Bookman Old Style"/>
        </w:rPr>
        <w:footnoteReference w:id="16"/>
      </w:r>
      <w:r w:rsidRPr="005317C5">
        <w:rPr>
          <w:rFonts w:ascii="Bookman Old Style" w:hAnsi="Bookman Old Style"/>
          <w:lang w:val="sv-SE"/>
        </w:rPr>
        <w:t xml:space="preserve"> </w:t>
      </w:r>
    </w:p>
    <w:p w14:paraId="09A946EF"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t>Namun, penggunaan Alkitab elektronik juga memiliki beberapa kelemahan. Salah satunya ketidakfokusan yang dapat terjadi ketika menggunakan alkitab elektronik selama beribadah. Oleh karena adanya gangguan-gangguan seperti notif pesan/telepon, sulitnya mengontrol diri untuk tidak melihat konten (</w:t>
      </w:r>
      <w:r w:rsidRPr="005317C5">
        <w:rPr>
          <w:rFonts w:ascii="Bookman Old Style" w:hAnsi="Bookman Old Style"/>
          <w:i/>
          <w:lang w:val="sv-SE"/>
        </w:rPr>
        <w:t>whatsapp</w:t>
      </w:r>
      <w:r w:rsidRPr="005317C5">
        <w:rPr>
          <w:rFonts w:ascii="Bookman Old Style" w:hAnsi="Bookman Old Style"/>
          <w:lang w:val="sv-SE"/>
        </w:rPr>
        <w:t xml:space="preserve">, ig, facebook, dan Tiktok). Bahkan terkadang banyak yang dengan bebas ketika selama ibadah berlangsung menyempatkan diri untuk </w:t>
      </w:r>
      <w:r w:rsidRPr="005317C5">
        <w:rPr>
          <w:rFonts w:ascii="Bookman Old Style" w:hAnsi="Bookman Old Style"/>
          <w:i/>
          <w:lang w:val="sv-SE"/>
        </w:rPr>
        <w:t>selfi</w:t>
      </w:r>
      <w:r w:rsidRPr="005317C5">
        <w:rPr>
          <w:rFonts w:ascii="Bookman Old Style" w:hAnsi="Bookman Old Style"/>
          <w:lang w:val="sv-SE"/>
        </w:rPr>
        <w:t xml:space="preserve"> atau mengabadikan moment selama beribadah. Hal tersebut semakin mempengaruhi sikap disiplin dalam beribadah dan sekaligus menjadi tantangan bagi gereja. Pengaruh penggunaan gadget ketika beribadah tentu akan mempengaruhi pertumbuhan spiritualitas seseorang, semakin tidak bersemangat untuk beribadah, mulai kehilangan minat untuk beribadah, merusak kualitas beribadah karena benar-benar tidak meraskan hadirat Allah.</w:t>
      </w:r>
    </w:p>
    <w:p w14:paraId="581CC07E" w14:textId="77777777" w:rsidR="006314E1" w:rsidRDefault="006314E1" w:rsidP="00EE6B89">
      <w:pPr>
        <w:widowControl/>
        <w:spacing w:after="0" w:line="360" w:lineRule="auto"/>
        <w:jc w:val="both"/>
        <w:rPr>
          <w:rFonts w:ascii="Bookman Old Style" w:hAnsi="Bookman Old Style"/>
          <w:b/>
          <w:lang w:val="sv-SE"/>
        </w:rPr>
      </w:pPr>
    </w:p>
    <w:p w14:paraId="3E12E7CF" w14:textId="284AC964" w:rsidR="00EE6B89" w:rsidRPr="005317C5" w:rsidRDefault="00EE6B89" w:rsidP="00EE6B89">
      <w:pPr>
        <w:widowControl/>
        <w:spacing w:after="0" w:line="360" w:lineRule="auto"/>
        <w:jc w:val="both"/>
        <w:rPr>
          <w:rFonts w:ascii="Bookman Old Style" w:hAnsi="Bookman Old Style"/>
          <w:b/>
          <w:lang w:val="sv-SE"/>
        </w:rPr>
      </w:pPr>
      <w:r w:rsidRPr="005317C5">
        <w:rPr>
          <w:rFonts w:ascii="Bookman Old Style" w:hAnsi="Bookman Old Style"/>
          <w:b/>
          <w:lang w:val="sv-SE"/>
        </w:rPr>
        <w:lastRenderedPageBreak/>
        <w:t xml:space="preserve">Upaya Konseling dengan Teknik </w:t>
      </w:r>
      <w:r w:rsidRPr="005317C5">
        <w:rPr>
          <w:rFonts w:ascii="Bookman Old Style" w:hAnsi="Bookman Old Style"/>
          <w:b/>
          <w:i/>
          <w:lang w:val="sv-SE"/>
        </w:rPr>
        <w:t>Token Economy</w:t>
      </w:r>
    </w:p>
    <w:p w14:paraId="7653D7BF" w14:textId="77777777" w:rsidR="00EE6B89" w:rsidRPr="005317C5" w:rsidRDefault="00EE6B89" w:rsidP="00EE6B89">
      <w:pPr>
        <w:widowControl/>
        <w:spacing w:after="0" w:line="360" w:lineRule="auto"/>
        <w:jc w:val="both"/>
        <w:rPr>
          <w:rFonts w:ascii="Bookman Old Style" w:hAnsi="Bookman Old Style"/>
          <w:b/>
        </w:rPr>
      </w:pPr>
      <w:r w:rsidRPr="005317C5">
        <w:rPr>
          <w:rFonts w:ascii="Bookman Old Style" w:hAnsi="Bookman Old Style"/>
          <w:b/>
        </w:rPr>
        <w:t xml:space="preserve">Defenisi Teknik </w:t>
      </w:r>
      <w:r w:rsidRPr="005317C5">
        <w:rPr>
          <w:rFonts w:ascii="Bookman Old Style" w:hAnsi="Bookman Old Style"/>
          <w:b/>
          <w:i/>
        </w:rPr>
        <w:t>Token Economy</w:t>
      </w:r>
    </w:p>
    <w:p w14:paraId="0988BBA4" w14:textId="77777777" w:rsidR="00EE6B89" w:rsidRPr="005317C5" w:rsidRDefault="00EE6B89" w:rsidP="00EE6B89">
      <w:pPr>
        <w:spacing w:after="0" w:line="360" w:lineRule="auto"/>
        <w:ind w:firstLine="720"/>
        <w:jc w:val="both"/>
        <w:rPr>
          <w:rFonts w:ascii="Bookman Old Style" w:hAnsi="Bookman Old Style"/>
          <w:b/>
          <w:lang w:val="sv-SE"/>
        </w:rPr>
      </w:pPr>
      <w:r w:rsidRPr="005317C5">
        <w:rPr>
          <w:rFonts w:ascii="Bookman Old Style" w:hAnsi="Bookman Old Style"/>
          <w:i/>
        </w:rPr>
        <w:t>Token economy</w:t>
      </w:r>
      <w:r w:rsidRPr="005317C5">
        <w:rPr>
          <w:rFonts w:ascii="Bookman Old Style" w:hAnsi="Bookman Old Style"/>
        </w:rPr>
        <w:t xml:space="preserve"> adalah suatu bentuk </w:t>
      </w:r>
      <w:r w:rsidRPr="005317C5">
        <w:rPr>
          <w:rFonts w:ascii="Bookman Old Style" w:hAnsi="Bookman Old Style"/>
          <w:i/>
        </w:rPr>
        <w:t>reinforcement</w:t>
      </w:r>
      <w:r w:rsidRPr="005317C5">
        <w:rPr>
          <w:rFonts w:ascii="Bookman Old Style" w:hAnsi="Bookman Old Style"/>
        </w:rPr>
        <w:t xml:space="preserve"> positif di mana konseli menerima suatu token ketika konseli memperlihatkan perilaku yang diinginkan</w:t>
      </w:r>
      <w:r w:rsidRPr="005317C5">
        <w:rPr>
          <w:rStyle w:val="FootnoteReference"/>
          <w:rFonts w:ascii="Bookman Old Style" w:hAnsi="Bookman Old Style"/>
        </w:rPr>
        <w:footnoteReference w:id="17"/>
      </w:r>
      <w:r w:rsidRPr="005317C5">
        <w:rPr>
          <w:rFonts w:ascii="Bookman Old Style" w:hAnsi="Bookman Old Style"/>
        </w:rPr>
        <w:t xml:space="preserve">. </w:t>
      </w:r>
      <w:r w:rsidRPr="005317C5">
        <w:rPr>
          <w:rFonts w:ascii="Bookman Old Style" w:hAnsi="Bookman Old Style"/>
          <w:lang w:val="sv-SE"/>
        </w:rPr>
        <w:t xml:space="preserve">Maka setelah konseli mengumpulkan token dalam jumlah tertentu, konseli dapat menukarkannya dengan </w:t>
      </w:r>
      <w:r w:rsidRPr="005317C5">
        <w:rPr>
          <w:rFonts w:ascii="Bookman Old Style" w:hAnsi="Bookman Old Style"/>
          <w:i/>
          <w:lang w:val="sv-SE"/>
        </w:rPr>
        <w:t>reinforcer.</w:t>
      </w:r>
      <w:r w:rsidRPr="005317C5">
        <w:rPr>
          <w:rFonts w:ascii="Bookman Old Style" w:hAnsi="Bookman Old Style"/>
          <w:lang w:val="sv-SE"/>
        </w:rPr>
        <w:t xml:space="preserve"> Fungsi token adalah untuk memberikan </w:t>
      </w:r>
      <w:r w:rsidRPr="005317C5">
        <w:rPr>
          <w:rFonts w:ascii="Bookman Old Style" w:hAnsi="Bookman Old Style"/>
          <w:i/>
          <w:lang w:val="sv-SE"/>
        </w:rPr>
        <w:t>reinforcement</w:t>
      </w:r>
      <w:r w:rsidRPr="005317C5">
        <w:rPr>
          <w:rFonts w:ascii="Bookman Old Style" w:hAnsi="Bookman Old Style"/>
          <w:lang w:val="sv-SE"/>
        </w:rPr>
        <w:t xml:space="preserve"> pada perilaku dengan memberi </w:t>
      </w:r>
      <w:r w:rsidRPr="005317C5">
        <w:rPr>
          <w:rFonts w:ascii="Bookman Old Style" w:hAnsi="Bookman Old Style"/>
          <w:i/>
          <w:lang w:val="sv-SE"/>
        </w:rPr>
        <w:t>reward</w:t>
      </w:r>
      <w:r w:rsidRPr="005317C5">
        <w:rPr>
          <w:rFonts w:ascii="Bookman Old Style" w:hAnsi="Bookman Old Style"/>
          <w:lang w:val="sv-SE"/>
        </w:rPr>
        <w:t xml:space="preserve"> pada perilaku-perilaku yang diharapkan atau dipilih. Jadi,  Token economy merupakan salah satu cara yang dapat digunakan untuk mengupayakan pembentukan perilaku. </w:t>
      </w:r>
      <w:r w:rsidRPr="005317C5">
        <w:rPr>
          <w:rFonts w:ascii="Bookman Old Style" w:hAnsi="Bookman Old Style"/>
          <w:i/>
          <w:lang w:val="sv-SE"/>
        </w:rPr>
        <w:t>Reward</w:t>
      </w:r>
      <w:r w:rsidRPr="005317C5">
        <w:rPr>
          <w:rFonts w:ascii="Bookman Old Style" w:hAnsi="Bookman Old Style"/>
          <w:lang w:val="sv-SE"/>
        </w:rPr>
        <w:t xml:space="preserve"> atau hadiah dimaksudkan agar konseli termotivasi untuk melakukan sesuatu perilaku sesuai dengan perilaku yang ditentukan. Selain itu, menurut Garry Martin, Token economy digunakan sebagai penguat yang dapat bertahan lama dengan keuntungan konseli dapat diberikan segera sesudah suatu perilaku yang diinginkan terjadi dan dipertukarkan diwaktu yang diinginkan oleh konseli sesuai kesepakatan bersama konselor.</w:t>
      </w:r>
    </w:p>
    <w:p w14:paraId="5D9342CA" w14:textId="77777777" w:rsidR="00EE6B89" w:rsidRPr="005317C5" w:rsidRDefault="00EE6B89" w:rsidP="00EE6B89">
      <w:pPr>
        <w:spacing w:after="0" w:line="360" w:lineRule="auto"/>
        <w:ind w:firstLine="720"/>
        <w:jc w:val="both"/>
        <w:rPr>
          <w:rFonts w:ascii="Bookman Old Style" w:hAnsi="Bookman Old Style"/>
          <w:b/>
          <w:lang w:val="sv-SE"/>
        </w:rPr>
      </w:pPr>
      <w:r w:rsidRPr="005317C5">
        <w:rPr>
          <w:rFonts w:ascii="Bookman Old Style" w:hAnsi="Bookman Old Style"/>
          <w:lang w:val="sv-SE"/>
        </w:rPr>
        <w:t>Santrock, juga mengatakan bahwa teknik Token Economy atau tabungan kepingan merupakan pemberian satu kepingan (tanda) sesegera mungkin setiap perilaku yang diharapkan muncul. Selanjutnya menurut Doll, Christoher, McLaughlin dan Barreto dalam jurnal Obsesi memberikan pengertian bahwa token economy merupaka suatu wujud modifikasi perilaku yang dirancang untuk meningkatkan perilaku yang diinginkan dan mengurangi perilaku yang tak diinginkan dengan pemakaian token (tanda berupa poker atau stiker)</w:t>
      </w:r>
      <w:r w:rsidRPr="005317C5">
        <w:rPr>
          <w:rStyle w:val="FootnoteReference"/>
          <w:rFonts w:ascii="Bookman Old Style" w:hAnsi="Bookman Old Style"/>
        </w:rPr>
        <w:footnoteReference w:id="18"/>
      </w:r>
      <w:r w:rsidRPr="005317C5">
        <w:rPr>
          <w:rFonts w:ascii="Bookman Old Style" w:hAnsi="Bookman Old Style"/>
          <w:lang w:val="sv-SE"/>
        </w:rPr>
        <w:t xml:space="preserve">. Jadi, dari beberapa pendapat para ahli tentang teknik token economy dapat disimpulkan bahwa teknik </w:t>
      </w:r>
      <w:r w:rsidRPr="005317C5">
        <w:rPr>
          <w:rFonts w:ascii="Bookman Old Style" w:hAnsi="Bookman Old Style"/>
          <w:i/>
          <w:lang w:val="sv-SE"/>
        </w:rPr>
        <w:t>token economy</w:t>
      </w:r>
      <w:r w:rsidRPr="005317C5">
        <w:rPr>
          <w:rFonts w:ascii="Bookman Old Style" w:hAnsi="Bookman Old Style"/>
          <w:lang w:val="sv-SE"/>
        </w:rPr>
        <w:t xml:space="preserve"> merupakan salah satu teknik modifikasi perilaku dengan cara pemberian token/kepingan untuk menguatkan perilaku positif yang nantinya token tersebut dapat ditukar dengan benda atau aktivitas pengukuh atau hadiah. Dengan demikian, tujuan utama dari teknik token economy adalah untuk menguatkan perilaku yang diinginkan dan mengurangi perilaku yang tidak diinginkan sesuai target perilaku yang telah ditetapkan oleh konselor. Dalam hal ini, tujuan penerapan token aconomy di lingkungan penggunaan gadget yang berlebihan adalah meminimalisir agar lebih terdisiplin.</w:t>
      </w:r>
    </w:p>
    <w:p w14:paraId="757632C5" w14:textId="77777777" w:rsidR="00EE6B89" w:rsidRPr="005317C5" w:rsidRDefault="00EE6B89" w:rsidP="00EE6B89">
      <w:pPr>
        <w:spacing w:after="0" w:line="360" w:lineRule="auto"/>
        <w:ind w:firstLine="720"/>
        <w:jc w:val="both"/>
        <w:rPr>
          <w:rFonts w:ascii="Bookman Old Style" w:hAnsi="Bookman Old Style"/>
          <w:lang w:val="sv-SE"/>
        </w:rPr>
      </w:pPr>
      <w:r w:rsidRPr="005317C5">
        <w:rPr>
          <w:rFonts w:ascii="Bookman Old Style" w:hAnsi="Bookman Old Style"/>
          <w:lang w:val="sv-SE"/>
        </w:rPr>
        <w:lastRenderedPageBreak/>
        <w:t xml:space="preserve">Upaya konseling pastoral dengan menggunakan teknik token economy harus melalui tahapan-tahapan dalam konseling pastoral, yakni tahap </w:t>
      </w:r>
      <w:r w:rsidRPr="005317C5">
        <w:rPr>
          <w:rFonts w:ascii="Bookman Old Style" w:hAnsi="Bookman Old Style"/>
          <w:i/>
          <w:lang w:val="sv-SE"/>
        </w:rPr>
        <w:t>rapport</w:t>
      </w:r>
      <w:r w:rsidRPr="005317C5">
        <w:rPr>
          <w:rFonts w:ascii="Bookman Old Style" w:hAnsi="Bookman Old Style"/>
          <w:lang w:val="sv-SE"/>
        </w:rPr>
        <w:t xml:space="preserve">, </w:t>
      </w:r>
      <w:r w:rsidRPr="005317C5">
        <w:rPr>
          <w:rFonts w:ascii="Bookman Old Style" w:hAnsi="Bookman Old Style"/>
          <w:i/>
          <w:lang w:val="sv-SE"/>
        </w:rPr>
        <w:t>anamnesa</w:t>
      </w:r>
      <w:r w:rsidRPr="005317C5">
        <w:rPr>
          <w:rFonts w:ascii="Bookman Old Style" w:hAnsi="Bookman Old Style"/>
          <w:lang w:val="sv-SE"/>
        </w:rPr>
        <w:t xml:space="preserve">, diagnosa, </w:t>
      </w:r>
      <w:r w:rsidRPr="005317C5">
        <w:rPr>
          <w:rFonts w:ascii="Bookman Old Style" w:hAnsi="Bookman Old Style"/>
          <w:i/>
          <w:lang w:val="sv-SE"/>
        </w:rPr>
        <w:t>treatment planning</w:t>
      </w:r>
      <w:r w:rsidRPr="005317C5">
        <w:rPr>
          <w:rFonts w:ascii="Bookman Old Style" w:hAnsi="Bookman Old Style"/>
          <w:lang w:val="sv-SE"/>
        </w:rPr>
        <w:t xml:space="preserve">, evaluasi/review, dan tahap </w:t>
      </w:r>
      <w:r w:rsidRPr="005317C5">
        <w:rPr>
          <w:rFonts w:ascii="Bookman Old Style" w:hAnsi="Bookman Old Style"/>
          <w:i/>
          <w:lang w:val="sv-SE"/>
        </w:rPr>
        <w:t>terminasi</w:t>
      </w:r>
      <w:r w:rsidRPr="005317C5">
        <w:rPr>
          <w:rFonts w:ascii="Bookman Old Style" w:hAnsi="Bookman Old Style"/>
          <w:lang w:val="sv-SE"/>
        </w:rPr>
        <w:t>.</w:t>
      </w:r>
      <w:r w:rsidRPr="005317C5">
        <w:rPr>
          <w:rStyle w:val="FootnoteReference"/>
          <w:rFonts w:ascii="Bookman Old Style" w:hAnsi="Bookman Old Style"/>
        </w:rPr>
        <w:footnoteReference w:id="19"/>
      </w:r>
      <w:r w:rsidRPr="005317C5">
        <w:rPr>
          <w:rFonts w:ascii="Bookman Old Style" w:hAnsi="Bookman Old Style"/>
          <w:lang w:val="sv-SE"/>
        </w:rPr>
        <w:t xml:space="preserve"> Sebelum melakukan </w:t>
      </w:r>
      <w:r w:rsidRPr="005317C5">
        <w:rPr>
          <w:rFonts w:ascii="Bookman Old Style" w:hAnsi="Bookman Old Style"/>
          <w:i/>
          <w:lang w:val="sv-SE"/>
        </w:rPr>
        <w:t>treatment</w:t>
      </w:r>
      <w:r w:rsidRPr="005317C5">
        <w:rPr>
          <w:rFonts w:ascii="Bookman Old Style" w:hAnsi="Bookman Old Style"/>
          <w:lang w:val="sv-SE"/>
        </w:rPr>
        <w:t xml:space="preserve"> konselor terlebih dahulu harus melakukan 3 tahapan awal konseling pastoral, yaitu membangun kepercayaan (</w:t>
      </w:r>
      <w:r w:rsidRPr="005317C5">
        <w:rPr>
          <w:rFonts w:ascii="Bookman Old Style" w:hAnsi="Bookman Old Style"/>
          <w:i/>
          <w:lang w:val="sv-SE"/>
        </w:rPr>
        <w:t>rapport</w:t>
      </w:r>
      <w:r w:rsidRPr="005317C5">
        <w:rPr>
          <w:rFonts w:ascii="Bookman Old Style" w:hAnsi="Bookman Old Style"/>
          <w:lang w:val="sv-SE"/>
        </w:rPr>
        <w:t>) dengan konseli, mengumpulkan data (</w:t>
      </w:r>
      <w:r w:rsidRPr="005317C5">
        <w:rPr>
          <w:rFonts w:ascii="Bookman Old Style" w:hAnsi="Bookman Old Style"/>
          <w:i/>
          <w:lang w:val="sv-SE"/>
        </w:rPr>
        <w:t>anamnesa</w:t>
      </w:r>
      <w:r w:rsidRPr="005317C5">
        <w:rPr>
          <w:rFonts w:ascii="Bookman Old Style" w:hAnsi="Bookman Old Style"/>
          <w:lang w:val="sv-SE"/>
        </w:rPr>
        <w:t xml:space="preserve">), dan menyimpulkan masalah (diagnosa). Dengan demikian konselor akan dengan lebih mudah melakukan </w:t>
      </w:r>
      <w:r w:rsidRPr="005317C5">
        <w:rPr>
          <w:rFonts w:ascii="Bookman Old Style" w:hAnsi="Bookman Old Style"/>
          <w:i/>
          <w:lang w:val="sv-SE"/>
        </w:rPr>
        <w:t>treatment</w:t>
      </w:r>
      <w:r w:rsidRPr="005317C5">
        <w:rPr>
          <w:rFonts w:ascii="Bookman Old Style" w:hAnsi="Bookman Old Style"/>
          <w:lang w:val="sv-SE"/>
        </w:rPr>
        <w:t>/tindakan.</w:t>
      </w:r>
    </w:p>
    <w:p w14:paraId="7888845D" w14:textId="77777777" w:rsidR="006314E1" w:rsidRDefault="006314E1" w:rsidP="006314E1">
      <w:pPr>
        <w:widowControl/>
        <w:spacing w:after="0" w:line="360" w:lineRule="auto"/>
        <w:jc w:val="both"/>
        <w:rPr>
          <w:rFonts w:ascii="Bookman Old Style" w:hAnsi="Bookman Old Style"/>
          <w:b/>
        </w:rPr>
      </w:pPr>
    </w:p>
    <w:p w14:paraId="5286A547" w14:textId="14EA388F" w:rsidR="00EE6B89" w:rsidRPr="005317C5" w:rsidRDefault="00EE6B89" w:rsidP="006314E1">
      <w:pPr>
        <w:widowControl/>
        <w:spacing w:after="0" w:line="360" w:lineRule="auto"/>
        <w:jc w:val="both"/>
        <w:rPr>
          <w:rFonts w:ascii="Bookman Old Style" w:hAnsi="Bookman Old Style"/>
          <w:b/>
        </w:rPr>
      </w:pPr>
      <w:r w:rsidRPr="005317C5">
        <w:rPr>
          <w:rFonts w:ascii="Bookman Old Style" w:hAnsi="Bookman Old Style"/>
          <w:b/>
        </w:rPr>
        <w:t>Tahap Pelaksanaan</w:t>
      </w:r>
    </w:p>
    <w:p w14:paraId="127F7C6C" w14:textId="268731CE" w:rsidR="00EE6B89" w:rsidRPr="005317C5" w:rsidRDefault="00EE6B89" w:rsidP="00EE6B89">
      <w:pPr>
        <w:spacing w:after="0" w:line="360" w:lineRule="auto"/>
        <w:ind w:firstLine="720"/>
        <w:jc w:val="both"/>
        <w:rPr>
          <w:rFonts w:ascii="Bookman Old Style" w:hAnsi="Bookman Old Style"/>
          <w:b/>
        </w:rPr>
      </w:pPr>
      <w:r w:rsidRPr="005317C5">
        <w:rPr>
          <w:rFonts w:ascii="Bookman Old Style" w:hAnsi="Bookman Old Style"/>
          <w:lang w:val="sv-SE"/>
        </w:rPr>
        <w:t xml:space="preserve">Dalam menerapkan sebuah teknik konseling atau pendekatan maka penting untuk mengetahui tahap demi tahap sehingga penerapan tersebut dapat terarah dan terstruktur dengan baik. </w:t>
      </w:r>
      <w:r w:rsidRPr="005317C5">
        <w:rPr>
          <w:rFonts w:ascii="Bookman Old Style" w:hAnsi="Bookman Old Style"/>
        </w:rPr>
        <w:t>Menurut Purwanta, secara umum token economy dilakukan dalam 3 tahapan, diantaranya</w:t>
      </w:r>
      <w:r w:rsidRPr="005317C5">
        <w:rPr>
          <w:rStyle w:val="FootnoteReference"/>
          <w:rFonts w:ascii="Bookman Old Style" w:hAnsi="Bookman Old Style"/>
        </w:rPr>
        <w:footnoteReference w:id="20"/>
      </w:r>
      <w:r w:rsidRPr="005317C5">
        <w:rPr>
          <w:rFonts w:ascii="Bookman Old Style" w:hAnsi="Bookman Old Style"/>
        </w:rPr>
        <w:t>:</w:t>
      </w:r>
    </w:p>
    <w:p w14:paraId="3FD4F6BA" w14:textId="77777777" w:rsidR="00EE6B89" w:rsidRPr="005317C5" w:rsidRDefault="00EE6B89" w:rsidP="00EE6B89">
      <w:pPr>
        <w:widowControl/>
        <w:numPr>
          <w:ilvl w:val="0"/>
          <w:numId w:val="5"/>
        </w:numPr>
        <w:spacing w:after="0" w:line="360" w:lineRule="auto"/>
        <w:ind w:left="1134" w:hanging="283"/>
        <w:jc w:val="both"/>
        <w:rPr>
          <w:rFonts w:ascii="Bookman Old Style" w:hAnsi="Bookman Old Style"/>
        </w:rPr>
      </w:pPr>
      <w:r w:rsidRPr="005317C5">
        <w:rPr>
          <w:rFonts w:ascii="Bookman Old Style" w:hAnsi="Bookman Old Style"/>
        </w:rPr>
        <w:t>Tahap Persiapan</w:t>
      </w:r>
    </w:p>
    <w:p w14:paraId="680A1FF3" w14:textId="77777777" w:rsidR="00EE6B89" w:rsidRPr="005317C5" w:rsidRDefault="00EE6B89" w:rsidP="00EE6B89">
      <w:pPr>
        <w:spacing w:after="0" w:line="360" w:lineRule="auto"/>
        <w:ind w:left="1134"/>
        <w:jc w:val="both"/>
        <w:rPr>
          <w:rFonts w:ascii="Bookman Old Style" w:hAnsi="Bookman Old Style"/>
        </w:rPr>
      </w:pPr>
      <w:r w:rsidRPr="005317C5">
        <w:rPr>
          <w:rFonts w:ascii="Bookman Old Style" w:hAnsi="Bookman Old Style"/>
        </w:rPr>
        <w:t>Menurut Napsiah Ibrahim dan Rohana Aldy dalam Edi Purwanta menuliskan bahwa ada empat hal yang perlu untuk dipersiapkan pada tahap persiapan, yakni:</w:t>
      </w:r>
    </w:p>
    <w:p w14:paraId="67789A12" w14:textId="77777777" w:rsidR="00EE6B89" w:rsidRPr="005317C5" w:rsidRDefault="00EE6B89" w:rsidP="00EE6B89">
      <w:pPr>
        <w:widowControl/>
        <w:numPr>
          <w:ilvl w:val="0"/>
          <w:numId w:val="4"/>
        </w:numPr>
        <w:spacing w:after="0" w:line="360" w:lineRule="auto"/>
        <w:ind w:left="1418" w:hanging="284"/>
        <w:jc w:val="both"/>
        <w:rPr>
          <w:rFonts w:ascii="Bookman Old Style" w:hAnsi="Bookman Old Style"/>
          <w:lang w:val="sv-SE"/>
        </w:rPr>
      </w:pPr>
      <w:r w:rsidRPr="005317C5">
        <w:rPr>
          <w:rFonts w:ascii="Bookman Old Style" w:hAnsi="Bookman Old Style"/>
          <w:lang w:val="sv-SE"/>
        </w:rPr>
        <w:t>Menentukan target perilaku yang akan dicapai dengan menetapkan tingka laku yang akan diubah.</w:t>
      </w:r>
    </w:p>
    <w:p w14:paraId="18BB9ADB" w14:textId="77777777" w:rsidR="00EE6B89" w:rsidRPr="005317C5" w:rsidRDefault="00EE6B89" w:rsidP="00EE6B89">
      <w:pPr>
        <w:widowControl/>
        <w:numPr>
          <w:ilvl w:val="0"/>
          <w:numId w:val="4"/>
        </w:numPr>
        <w:spacing w:after="0" w:line="360" w:lineRule="auto"/>
        <w:ind w:left="1418" w:hanging="283"/>
        <w:jc w:val="both"/>
        <w:rPr>
          <w:rFonts w:ascii="Bookman Old Style" w:hAnsi="Bookman Old Style"/>
          <w:lang w:val="sv-SE"/>
        </w:rPr>
      </w:pPr>
      <w:r w:rsidRPr="005317C5">
        <w:rPr>
          <w:rFonts w:ascii="Bookman Old Style" w:hAnsi="Bookman Old Style"/>
          <w:lang w:val="sv-SE"/>
        </w:rPr>
        <w:t>Menentukan barang atau kegiatan yang menjadi penukar kepingan</w:t>
      </w:r>
    </w:p>
    <w:p w14:paraId="70306FC4" w14:textId="77777777" w:rsidR="00EE6B89" w:rsidRPr="005317C5" w:rsidRDefault="00EE6B89" w:rsidP="00EE6B89">
      <w:pPr>
        <w:widowControl/>
        <w:numPr>
          <w:ilvl w:val="0"/>
          <w:numId w:val="4"/>
        </w:numPr>
        <w:spacing w:after="0" w:line="360" w:lineRule="auto"/>
        <w:ind w:left="1418" w:hanging="283"/>
        <w:jc w:val="both"/>
        <w:rPr>
          <w:rFonts w:ascii="Bookman Old Style" w:hAnsi="Bookman Old Style"/>
          <w:lang w:val="sv-SE"/>
        </w:rPr>
      </w:pPr>
      <w:r w:rsidRPr="005317C5">
        <w:rPr>
          <w:rFonts w:ascii="Bookman Old Style" w:hAnsi="Bookman Old Style"/>
          <w:lang w:val="sv-SE"/>
        </w:rPr>
        <w:t>Memberi nilai atau harga untuk setiap kegiatan yang ditargetkan dengan keinginan</w:t>
      </w:r>
    </w:p>
    <w:p w14:paraId="0D3C927D" w14:textId="77777777" w:rsidR="00EE6B89" w:rsidRPr="005317C5" w:rsidRDefault="00EE6B89" w:rsidP="00EE6B89">
      <w:pPr>
        <w:widowControl/>
        <w:numPr>
          <w:ilvl w:val="0"/>
          <w:numId w:val="4"/>
        </w:numPr>
        <w:spacing w:after="0" w:line="360" w:lineRule="auto"/>
        <w:ind w:left="1418" w:hanging="283"/>
        <w:jc w:val="both"/>
        <w:rPr>
          <w:rFonts w:ascii="Bookman Old Style" w:hAnsi="Bookman Old Style"/>
          <w:lang w:val="sv-SE"/>
        </w:rPr>
      </w:pPr>
      <w:r w:rsidRPr="005317C5">
        <w:rPr>
          <w:rFonts w:ascii="Bookman Old Style" w:hAnsi="Bookman Old Style"/>
          <w:lang w:val="sv-SE"/>
        </w:rPr>
        <w:t>Menetapkan harga barang atau kegiatan penukar.</w:t>
      </w:r>
    </w:p>
    <w:p w14:paraId="67CC889E" w14:textId="77777777" w:rsidR="00EE6B89" w:rsidRPr="005317C5" w:rsidRDefault="00EE6B89" w:rsidP="00EE6B89">
      <w:pPr>
        <w:widowControl/>
        <w:numPr>
          <w:ilvl w:val="0"/>
          <w:numId w:val="5"/>
        </w:numPr>
        <w:spacing w:after="0" w:line="360" w:lineRule="auto"/>
        <w:ind w:left="1134" w:hanging="283"/>
        <w:jc w:val="both"/>
        <w:rPr>
          <w:rFonts w:ascii="Bookman Old Style" w:hAnsi="Bookman Old Style"/>
        </w:rPr>
      </w:pPr>
      <w:r w:rsidRPr="005317C5">
        <w:rPr>
          <w:rFonts w:ascii="Bookman Old Style" w:hAnsi="Bookman Old Style"/>
        </w:rPr>
        <w:t>Tahap Pelaksanaan</w:t>
      </w:r>
    </w:p>
    <w:p w14:paraId="2CA212FB" w14:textId="77777777" w:rsidR="00EE6B89" w:rsidRPr="005317C5" w:rsidRDefault="00EE6B89" w:rsidP="00EE6B89">
      <w:pPr>
        <w:spacing w:after="0" w:line="360" w:lineRule="auto"/>
        <w:ind w:left="1134"/>
        <w:jc w:val="both"/>
        <w:rPr>
          <w:rFonts w:ascii="Bookman Old Style" w:hAnsi="Bookman Old Style"/>
          <w:lang w:val="sv-SE"/>
        </w:rPr>
      </w:pPr>
      <w:r w:rsidRPr="005317C5">
        <w:rPr>
          <w:rFonts w:ascii="Bookman Old Style" w:hAnsi="Bookman Old Style"/>
        </w:rPr>
        <w:t xml:space="preserve">Di tahap pelaksanaan konselor dan konseli mengawali dengan membuat kesepakatan mengenai aturan dalam pelaksanaan </w:t>
      </w:r>
      <w:r w:rsidRPr="005317C5">
        <w:rPr>
          <w:rFonts w:ascii="Bookman Old Style" w:hAnsi="Bookman Old Style"/>
          <w:i/>
        </w:rPr>
        <w:t>token economy</w:t>
      </w:r>
      <w:r w:rsidRPr="005317C5">
        <w:rPr>
          <w:rFonts w:ascii="Bookman Old Style" w:hAnsi="Bookman Old Style"/>
        </w:rPr>
        <w:t xml:space="preserve"> dan menyampaikan rencana-rencana yang telah dibuat oleh konselor. </w:t>
      </w:r>
      <w:r w:rsidRPr="005317C5">
        <w:rPr>
          <w:rFonts w:ascii="Bookman Old Style" w:hAnsi="Bookman Old Style"/>
          <w:lang w:val="sv-SE"/>
        </w:rPr>
        <w:t xml:space="preserve">Jadi, konselor menjelasakan secara detail aturan-aturan dalam pelaksanaan teknik </w:t>
      </w:r>
      <w:r w:rsidRPr="005317C5">
        <w:rPr>
          <w:rFonts w:ascii="Bookman Old Style" w:hAnsi="Bookman Old Style"/>
          <w:i/>
          <w:lang w:val="sv-SE"/>
        </w:rPr>
        <w:t>token economy</w:t>
      </w:r>
      <w:r w:rsidRPr="005317C5">
        <w:rPr>
          <w:rFonts w:ascii="Bookman Old Style" w:hAnsi="Bookman Old Style"/>
          <w:lang w:val="sv-SE"/>
        </w:rPr>
        <w:t xml:space="preserve">. Persyaratan dalam melaksanakan teknik </w:t>
      </w:r>
      <w:r w:rsidRPr="005317C5">
        <w:rPr>
          <w:rFonts w:ascii="Bookman Old Style" w:hAnsi="Bookman Old Style"/>
          <w:i/>
          <w:lang w:val="sv-SE"/>
        </w:rPr>
        <w:t xml:space="preserve">token economy </w:t>
      </w:r>
      <w:r w:rsidRPr="005317C5">
        <w:rPr>
          <w:rFonts w:ascii="Bookman Old Style" w:hAnsi="Bookman Old Style"/>
          <w:lang w:val="sv-SE"/>
        </w:rPr>
        <w:t xml:space="preserve">harus jelas dan dijelaskan di awal saat membuat kesepakatan dengan konseli. Dalam pemilihan </w:t>
      </w:r>
      <w:r w:rsidRPr="005317C5">
        <w:rPr>
          <w:rFonts w:ascii="Bookman Old Style" w:hAnsi="Bookman Old Style"/>
          <w:i/>
          <w:lang w:val="sv-SE"/>
        </w:rPr>
        <w:t>reinforce</w:t>
      </w:r>
      <w:r w:rsidRPr="005317C5">
        <w:rPr>
          <w:rFonts w:ascii="Bookman Old Style" w:hAnsi="Bookman Old Style"/>
          <w:lang w:val="sv-SE"/>
        </w:rPr>
        <w:t xml:space="preserve">/penguatan juga harus </w:t>
      </w:r>
      <w:r w:rsidRPr="005317C5">
        <w:rPr>
          <w:rFonts w:ascii="Bookman Old Style" w:hAnsi="Bookman Old Style"/>
          <w:lang w:val="sv-SE"/>
        </w:rPr>
        <w:lastRenderedPageBreak/>
        <w:t>diperhatikan, penguatan harus memiliki kualitasnya memadai dan sesuai dengan lingkungan konseli, kebutuhan, dan tahap perkembangan konseli. Artinya, alat penguatan/pengukuh harus sesuai dengan usia dan perkembangan konseli dan aman untuk konseli.</w:t>
      </w:r>
    </w:p>
    <w:p w14:paraId="60BEEB24" w14:textId="77777777" w:rsidR="00EE6B89" w:rsidRPr="005317C5" w:rsidRDefault="00EE6B89" w:rsidP="00EE6B89">
      <w:pPr>
        <w:spacing w:after="0" w:line="360" w:lineRule="auto"/>
        <w:ind w:left="1134"/>
        <w:jc w:val="both"/>
        <w:rPr>
          <w:rFonts w:ascii="Bookman Old Style" w:hAnsi="Bookman Old Style"/>
          <w:lang w:val="sv-SE"/>
        </w:rPr>
      </w:pPr>
      <w:r w:rsidRPr="005317C5">
        <w:rPr>
          <w:rFonts w:ascii="Bookman Old Style" w:hAnsi="Bookman Old Style"/>
          <w:lang w:val="sv-SE"/>
        </w:rPr>
        <w:t>Adapun hal yang harus diperhatikan sebagai konselor adalah ketika perilaku yang diinginkan muncul atau dilakukan oleh konseli, maka sesegera mungkin untuk memberikan kepingan/token economy. Setelah tokennya dianggap cukup, maka selanjutnya konselor mengarahkan anak untuk menukarkan token/kepingan tersebut dengan hadiah atau dengan sesuatu yang disukai oleh konseli. Setelah itu, jangan lupa untuk menyampaikan kembali kepada konseli perilaku apa yang telah mereka tunjukkan, tujuannya ialah agar konseli fokus terhadap perubahan perilaku yang diinginkan bukan pada token yang akan diberikan. Jadi, token dalam hal ini bertujuan untuk membentuk perilaku bukan semata-mata untuk memberikan hadiah</w:t>
      </w:r>
      <w:r w:rsidRPr="005317C5">
        <w:rPr>
          <w:rStyle w:val="FootnoteReference"/>
          <w:rFonts w:ascii="Bookman Old Style" w:hAnsi="Bookman Old Style"/>
        </w:rPr>
        <w:footnoteReference w:id="21"/>
      </w:r>
      <w:r w:rsidRPr="005317C5">
        <w:rPr>
          <w:rFonts w:ascii="Bookman Old Style" w:hAnsi="Bookman Old Style"/>
          <w:lang w:val="sv-SE"/>
        </w:rPr>
        <w:t>.</w:t>
      </w:r>
    </w:p>
    <w:p w14:paraId="174FBA9E" w14:textId="77777777" w:rsidR="00EE6B89" w:rsidRPr="005317C5" w:rsidRDefault="00EE6B89" w:rsidP="00EE6B89">
      <w:pPr>
        <w:spacing w:after="0" w:line="360" w:lineRule="auto"/>
        <w:ind w:left="1134"/>
        <w:jc w:val="both"/>
        <w:rPr>
          <w:rFonts w:ascii="Bookman Old Style" w:hAnsi="Bookman Old Style"/>
          <w:lang w:val="sv-SE"/>
        </w:rPr>
      </w:pPr>
      <w:r w:rsidRPr="005317C5">
        <w:rPr>
          <w:rFonts w:ascii="Bookman Old Style" w:hAnsi="Bookman Old Style"/>
          <w:lang w:val="sv-SE"/>
        </w:rPr>
        <w:t xml:space="preserve">Mengenai durasi atau waktu pemberian </w:t>
      </w:r>
      <w:r w:rsidRPr="005317C5">
        <w:rPr>
          <w:rFonts w:ascii="Bookman Old Style" w:hAnsi="Bookman Old Style"/>
          <w:i/>
          <w:lang w:val="sv-SE"/>
        </w:rPr>
        <w:t>reinforce</w:t>
      </w:r>
      <w:r w:rsidRPr="005317C5">
        <w:rPr>
          <w:rFonts w:ascii="Bookman Old Style" w:hAnsi="Bookman Old Style"/>
          <w:lang w:val="sv-SE"/>
        </w:rPr>
        <w:t xml:space="preserve"> dapat dilakukan setiap hari atau setiap akhir pelaksanaan. Akan tetapi apabila konseli mulai tidak nyaman dan tidak fokus  dengan penguatannya maka pemberian penguatan dapat dikurangi durasinya. Misalnya seminggu sekali. Jadi, sebisa mungkin membuat konseli agar konsisten terhadap perilaku yang diinginkan.</w:t>
      </w:r>
    </w:p>
    <w:p w14:paraId="68B70082" w14:textId="77777777" w:rsidR="00EE6B89" w:rsidRPr="005317C5" w:rsidRDefault="00EE6B89" w:rsidP="00EE6B89">
      <w:pPr>
        <w:spacing w:after="0" w:line="360" w:lineRule="auto"/>
        <w:ind w:left="1134"/>
        <w:jc w:val="both"/>
        <w:rPr>
          <w:rFonts w:ascii="Bookman Old Style" w:hAnsi="Bookman Old Style"/>
          <w:lang w:val="sv-SE"/>
        </w:rPr>
      </w:pPr>
      <w:r w:rsidRPr="005317C5">
        <w:rPr>
          <w:rFonts w:ascii="Bookman Old Style" w:hAnsi="Bookman Old Style"/>
          <w:lang w:val="sv-SE"/>
        </w:rPr>
        <w:t>Dalam tahap pelaksanaan dilakukan di rumah konseli dan dibantu pengawasan oleh orang tua atau kerabat serta saudara dari konseli. Saat konseli mampu mengontrol dirinya untuk tidak bermain gedget, maka konseli akan mendapatkan 1 tiket sebagai tokennya. Sehingga 1 tiket tersebut dapat di tukarkan dengan hadiah atau sesuatu yang disukai konseli berupa perlengkapan mainan masak-masak dan makanan kesukaan konseli atau menyesuaikan usianya.</w:t>
      </w:r>
    </w:p>
    <w:p w14:paraId="4F9B7582" w14:textId="77777777" w:rsidR="00EE6B89" w:rsidRPr="005317C5" w:rsidRDefault="00EE6B89" w:rsidP="00EE6B89">
      <w:pPr>
        <w:widowControl/>
        <w:numPr>
          <w:ilvl w:val="0"/>
          <w:numId w:val="5"/>
        </w:numPr>
        <w:spacing w:after="0" w:line="360" w:lineRule="auto"/>
        <w:ind w:left="1134" w:hanging="283"/>
        <w:jc w:val="both"/>
        <w:rPr>
          <w:rFonts w:ascii="Bookman Old Style" w:hAnsi="Bookman Old Style"/>
        </w:rPr>
      </w:pPr>
      <w:r w:rsidRPr="005317C5">
        <w:rPr>
          <w:rFonts w:ascii="Bookman Old Style" w:hAnsi="Bookman Old Style"/>
        </w:rPr>
        <w:t>Tahap Evaluasi</w:t>
      </w:r>
    </w:p>
    <w:p w14:paraId="19F7E6DA" w14:textId="77777777" w:rsidR="00EE6B89" w:rsidRPr="005317C5" w:rsidRDefault="00EE6B89" w:rsidP="00EE6B89">
      <w:pPr>
        <w:spacing w:after="0" w:line="360" w:lineRule="auto"/>
        <w:ind w:left="1134"/>
        <w:jc w:val="both"/>
        <w:rPr>
          <w:rFonts w:ascii="Bookman Old Style" w:hAnsi="Bookman Old Style"/>
        </w:rPr>
      </w:pPr>
      <w:r w:rsidRPr="005317C5">
        <w:rPr>
          <w:rFonts w:ascii="Bookman Old Style" w:hAnsi="Bookman Old Style"/>
        </w:rPr>
        <w:t>Pada tahap evaluasi dilakukan setelah tahap pelaksanaan . konselor menganalisa atau mencari tahu faktor apa saja yang perlu dikurangi atau ditambahkan dalam pengubahan perilaku yang telah dilaksanakan.</w:t>
      </w:r>
    </w:p>
    <w:p w14:paraId="565FFEE1" w14:textId="77777777" w:rsidR="00EE6B89" w:rsidRPr="005317C5" w:rsidRDefault="00EE6B89" w:rsidP="00EE6B89">
      <w:pPr>
        <w:spacing w:after="0" w:line="360" w:lineRule="auto"/>
        <w:ind w:left="1134"/>
        <w:jc w:val="both"/>
        <w:rPr>
          <w:rFonts w:ascii="Bookman Old Style" w:hAnsi="Bookman Old Style"/>
          <w:lang w:val="sv-SE"/>
        </w:rPr>
      </w:pPr>
      <w:r w:rsidRPr="005317C5">
        <w:rPr>
          <w:rFonts w:ascii="Bookman Old Style" w:hAnsi="Bookman Old Style"/>
        </w:rPr>
        <w:lastRenderedPageBreak/>
        <w:t xml:space="preserve">Jadi, dari uraian tahapan token economy di atas, dapat disimpulkan bahwa konselor harus memperhatikan tahap demi tahap dalam praktik layanan konseling sesuai aturan </w:t>
      </w:r>
      <w:r w:rsidRPr="005317C5">
        <w:rPr>
          <w:rStyle w:val="FootnoteReference"/>
          <w:rFonts w:ascii="Bookman Old Style" w:hAnsi="Bookman Old Style"/>
        </w:rPr>
        <w:footnoteReference w:id="22"/>
      </w:r>
      <w:r w:rsidRPr="005317C5">
        <w:rPr>
          <w:rFonts w:ascii="Bookman Old Style" w:hAnsi="Bookman Old Style"/>
        </w:rPr>
        <w:t>, yakni ditahap awal hal apa saja yang perlu dilakukan, yakni bagaimana konselor membangun kepercayaan dengan konseli, mengumpulkan data-data (</w:t>
      </w:r>
      <w:r w:rsidRPr="005317C5">
        <w:rPr>
          <w:rFonts w:ascii="Bookman Old Style" w:hAnsi="Bookman Old Style"/>
          <w:i/>
        </w:rPr>
        <w:t>anamnesa</w:t>
      </w:r>
      <w:r w:rsidRPr="005317C5">
        <w:rPr>
          <w:rFonts w:ascii="Bookman Old Style" w:hAnsi="Bookman Old Style"/>
        </w:rPr>
        <w:t xml:space="preserve">), dan mampu menemukan hasil diagnosis. Selanjutnya masuk pada tahap inti yang di dalamnya ada tindakan atau pelaksanaan dan diakhiri dengan tahap akhir dimana konselor dan konseli membuat kesimpulan perihal hasil dari proses konseling, menyusun rencana tindakan selanjutnya, mengevaluasi. </w:t>
      </w:r>
      <w:r w:rsidRPr="005317C5">
        <w:rPr>
          <w:rFonts w:ascii="Bookman Old Style" w:hAnsi="Bookman Old Style"/>
          <w:lang w:val="sv-SE"/>
        </w:rPr>
        <w:t xml:space="preserve">Dan ditahap akhir-pula diharapakn dengan adanya adanya tanda-tanda penurunan perilaku penggunaan gawai. </w:t>
      </w:r>
    </w:p>
    <w:p w14:paraId="3BC1D4BB" w14:textId="77777777" w:rsidR="00EE6B89" w:rsidRPr="005317C5" w:rsidRDefault="00EE6B89" w:rsidP="00EE6B89">
      <w:pPr>
        <w:spacing w:after="0" w:line="360" w:lineRule="auto"/>
        <w:ind w:left="720" w:firstLine="720"/>
        <w:jc w:val="both"/>
        <w:rPr>
          <w:rFonts w:ascii="Bookman Old Style" w:hAnsi="Bookman Old Style"/>
          <w:lang w:val="sv-SE"/>
        </w:rPr>
      </w:pPr>
      <w:r w:rsidRPr="005317C5">
        <w:rPr>
          <w:rFonts w:ascii="Bookman Old Style" w:hAnsi="Bookman Old Style"/>
          <w:lang w:val="sv-SE"/>
        </w:rPr>
        <w:t xml:space="preserve">Menurut Erford, cara mengimplementasikan teknik </w:t>
      </w:r>
      <w:r w:rsidRPr="005317C5">
        <w:rPr>
          <w:rFonts w:ascii="Bookman Old Style" w:hAnsi="Bookman Old Style"/>
          <w:i/>
          <w:lang w:val="sv-SE"/>
        </w:rPr>
        <w:t>token economy</w:t>
      </w:r>
      <w:r w:rsidRPr="005317C5">
        <w:rPr>
          <w:rFonts w:ascii="Bookman Old Style" w:hAnsi="Bookman Old Style"/>
          <w:lang w:val="sv-SE"/>
        </w:rPr>
        <w:t xml:space="preserve"> yang pertama yang harus dilakukan adalah mengidentifikasi perilaku yang harus diubah</w:t>
      </w:r>
      <w:r w:rsidRPr="005317C5">
        <w:rPr>
          <w:rStyle w:val="FootnoteReference"/>
          <w:rFonts w:ascii="Bookman Old Style" w:hAnsi="Bookman Old Style"/>
        </w:rPr>
        <w:footnoteReference w:id="23"/>
      </w:r>
      <w:r w:rsidRPr="005317C5">
        <w:rPr>
          <w:rFonts w:ascii="Bookman Old Style" w:hAnsi="Bookman Old Style"/>
          <w:lang w:val="sv-SE"/>
        </w:rPr>
        <w:t>. Kedua, membuat dan men-</w:t>
      </w:r>
      <w:r w:rsidRPr="005317C5">
        <w:rPr>
          <w:rFonts w:ascii="Bookman Old Style" w:hAnsi="Bookman Old Style"/>
          <w:i/>
          <w:lang w:val="sv-SE"/>
        </w:rPr>
        <w:t>display</w:t>
      </w:r>
      <w:r w:rsidRPr="005317C5">
        <w:rPr>
          <w:rFonts w:ascii="Bookman Old Style" w:hAnsi="Bookman Old Style"/>
          <w:lang w:val="sv-SE"/>
        </w:rPr>
        <w:t xml:space="preserve"> aturan (pemberian token, aturan, kuantitas token,dan waktu). Selanjutnya, jenis token yang digunakan harus haruslah aman, kuat, mudah diberikan, dan sulit untuk ditiru. Erford juga menekankan agar konseli dalam hal ini anak terdorong untuk ikut serta atau terlibat dalam sebuah kegiatan dan terlibat dengan orang lain. Misalnya, membersihkan, makan, dan beribadah. Ketiga, menentukan nilai token. Artinya, konselor menentukan berapa jumlah tiket yang harus dicapai konseli untuk bisa menukarkannya dengan hadia/hal yang disukainya.</w:t>
      </w:r>
    </w:p>
    <w:p w14:paraId="160ADF5B" w14:textId="77777777" w:rsidR="00EE6B89" w:rsidRPr="005317C5" w:rsidRDefault="00EE6B89" w:rsidP="00EE6B89">
      <w:pPr>
        <w:spacing w:after="0" w:line="360" w:lineRule="auto"/>
        <w:ind w:left="720" w:firstLine="720"/>
        <w:jc w:val="both"/>
        <w:rPr>
          <w:rFonts w:ascii="Bookman Old Style" w:hAnsi="Bookman Old Style"/>
          <w:lang w:val="sv-SE"/>
        </w:rPr>
      </w:pPr>
    </w:p>
    <w:p w14:paraId="3A275C3C" w14:textId="77777777" w:rsidR="00EE6B89" w:rsidRPr="005317C5" w:rsidRDefault="00EE6B89" w:rsidP="00EE6B89">
      <w:pPr>
        <w:spacing w:after="0" w:line="360" w:lineRule="auto"/>
        <w:ind w:left="709"/>
        <w:jc w:val="both"/>
        <w:rPr>
          <w:rFonts w:ascii="Bookman Old Style" w:hAnsi="Bookman Old Style"/>
          <w:b/>
          <w:lang w:val="sv-SE"/>
        </w:rPr>
      </w:pPr>
      <w:r w:rsidRPr="005317C5">
        <w:rPr>
          <w:rFonts w:ascii="Bookman Old Style" w:hAnsi="Bookman Old Style"/>
          <w:b/>
          <w:lang w:val="sv-SE"/>
        </w:rPr>
        <w:t>KESIMPULAN</w:t>
      </w:r>
    </w:p>
    <w:p w14:paraId="130A29CA" w14:textId="77777777" w:rsidR="00EE6B89" w:rsidRPr="005317C5" w:rsidRDefault="00EE6B89" w:rsidP="00EE6B89">
      <w:pPr>
        <w:spacing w:after="0" w:line="360" w:lineRule="auto"/>
        <w:ind w:left="720" w:firstLine="720"/>
        <w:jc w:val="both"/>
        <w:rPr>
          <w:rFonts w:ascii="Bookman Old Style" w:hAnsi="Bookman Old Style"/>
          <w:lang w:val="sv-SE"/>
        </w:rPr>
      </w:pPr>
      <w:r w:rsidRPr="005317C5">
        <w:rPr>
          <w:rFonts w:ascii="Bookman Old Style" w:hAnsi="Bookman Old Style"/>
          <w:lang w:val="sv-SE"/>
        </w:rPr>
        <w:t>Penggunaan gadget semakin meluas karena adanya kebutuhan akan konektivitas serta kemudahan untuk mengakses informasi. Manusia sebagai pengguna gadget memudahkan dalam berkomunikasi, bekerja, belajar, sumber huburan, dan berbagai aktivitas lainnya. Penggunaan gadget memiliki dampak yang kompleks. Selain memudahkan akses informasi, komunikasi dan produktivitas. Namun juga dapat menyebabkan  ketergantungan, gangguan tidur, kurangnya interaksi social secara langsung serta masalah kesehatan fisik dan mental seperti postur tubuh yang buruk dan stress.</w:t>
      </w:r>
    </w:p>
    <w:p w14:paraId="07F1E282" w14:textId="77777777" w:rsidR="00EE6B89" w:rsidRDefault="00EE6B89" w:rsidP="00EE6B89">
      <w:pPr>
        <w:spacing w:after="0" w:line="360" w:lineRule="auto"/>
        <w:ind w:left="720" w:firstLine="720"/>
        <w:jc w:val="both"/>
        <w:rPr>
          <w:rFonts w:ascii="Bookman Old Style" w:hAnsi="Bookman Old Style"/>
          <w:lang w:val="sv-SE"/>
        </w:rPr>
      </w:pPr>
      <w:r w:rsidRPr="005317C5">
        <w:rPr>
          <w:rFonts w:ascii="Bookman Old Style" w:hAnsi="Bookman Old Style"/>
          <w:lang w:val="sv-SE"/>
        </w:rPr>
        <w:lastRenderedPageBreak/>
        <w:t>Pandangan gereja terhadap penggunaan gadget dalam kedisiplinan beribadah cukup variatif, tetapi banyak menekankan bahwa gadget seharusnya tidak menganggu atau menggantikan pengalaman langsung dengan Tuhan. Meskipun teknologi dapat digunakan sebagai alat untuk memperluas jangkauan dan mendukung praktik keagamaan, penting bagi umat untuk tetap fokus pada hubungan mereka dengan Tuhan tanpa terganggu  dengan gadget. Beberapa gereja mungkin mengingatkan umat agar tidak terlalu tergantung pada gadget dalam beribadah, sementara yang lan mungkn mengadopsi teknologi sebagai cara untuk mencapa dan terlibat dengan lebih banyak orang.</w:t>
      </w:r>
    </w:p>
    <w:p w14:paraId="32E4DA3F" w14:textId="77777777" w:rsidR="00756876" w:rsidRPr="005317C5" w:rsidRDefault="00756876" w:rsidP="00EE6B89">
      <w:pPr>
        <w:spacing w:after="0" w:line="360" w:lineRule="auto"/>
        <w:ind w:left="720" w:firstLine="720"/>
        <w:jc w:val="both"/>
        <w:rPr>
          <w:rFonts w:ascii="Bookman Old Style" w:hAnsi="Bookman Old Style"/>
          <w:lang w:val="sv-SE"/>
        </w:rPr>
      </w:pPr>
    </w:p>
    <w:p w14:paraId="658B4A93" w14:textId="77777777" w:rsidR="00EE6B89" w:rsidRPr="005317C5" w:rsidRDefault="00EE6B89" w:rsidP="00EE6B89">
      <w:pPr>
        <w:jc w:val="both"/>
        <w:rPr>
          <w:rFonts w:ascii="Bookman Old Style" w:hAnsi="Bookman Old Style"/>
          <w:b/>
        </w:rPr>
      </w:pPr>
      <w:r w:rsidRPr="005317C5">
        <w:rPr>
          <w:rFonts w:ascii="Bookman Old Style" w:hAnsi="Bookman Old Style"/>
          <w:b/>
        </w:rPr>
        <w:t>REFERENSI</w:t>
      </w:r>
    </w:p>
    <w:p w14:paraId="695AB87A" w14:textId="77777777" w:rsidR="00EE6B89" w:rsidRPr="005317C5" w:rsidRDefault="00EE6B89" w:rsidP="00756876">
      <w:pPr>
        <w:pStyle w:val="FootnoteText"/>
        <w:spacing w:line="360" w:lineRule="auto"/>
        <w:ind w:left="720" w:hanging="607"/>
        <w:jc w:val="both"/>
        <w:rPr>
          <w:rFonts w:ascii="Bookman Old Style" w:hAnsi="Bookman Old Style"/>
          <w:sz w:val="22"/>
          <w:szCs w:val="22"/>
        </w:rPr>
      </w:pPr>
      <w:r w:rsidRPr="005317C5">
        <w:rPr>
          <w:rFonts w:ascii="Bookman Old Style" w:hAnsi="Bookman Old Style"/>
          <w:sz w:val="22"/>
          <w:szCs w:val="22"/>
          <w:lang w:val="sv-SE"/>
        </w:rPr>
        <w:t xml:space="preserve">Chaidirman, dkk. </w:t>
      </w:r>
      <w:r w:rsidRPr="005317C5">
        <w:rPr>
          <w:rFonts w:ascii="Bookman Old Style" w:hAnsi="Bookman Old Style"/>
          <w:sz w:val="22"/>
          <w:szCs w:val="22"/>
        </w:rPr>
        <w:t>“</w:t>
      </w:r>
      <w:proofErr w:type="spellStart"/>
      <w:r w:rsidRPr="005317C5">
        <w:rPr>
          <w:rFonts w:ascii="Bookman Old Style" w:hAnsi="Bookman Old Style"/>
          <w:sz w:val="22"/>
          <w:szCs w:val="22"/>
        </w:rPr>
        <w:t>Fenomena</w:t>
      </w:r>
      <w:proofErr w:type="spellEnd"/>
      <w:r w:rsidRPr="005317C5">
        <w:rPr>
          <w:rFonts w:ascii="Bookman Old Style" w:hAnsi="Bookman Old Style"/>
          <w:sz w:val="22"/>
          <w:szCs w:val="22"/>
        </w:rPr>
        <w:t xml:space="preserve"> </w:t>
      </w:r>
      <w:proofErr w:type="spellStart"/>
      <w:r w:rsidRPr="005317C5">
        <w:rPr>
          <w:rFonts w:ascii="Bookman Old Style" w:hAnsi="Bookman Old Style"/>
          <w:sz w:val="22"/>
          <w:szCs w:val="22"/>
        </w:rPr>
        <w:t>Kecanduan</w:t>
      </w:r>
      <w:proofErr w:type="spellEnd"/>
      <w:r w:rsidRPr="005317C5">
        <w:rPr>
          <w:rFonts w:ascii="Bookman Old Style" w:hAnsi="Bookman Old Style"/>
          <w:sz w:val="22"/>
          <w:szCs w:val="22"/>
        </w:rPr>
        <w:t xml:space="preserve"> </w:t>
      </w:r>
      <w:proofErr w:type="spellStart"/>
      <w:r w:rsidRPr="005317C5">
        <w:rPr>
          <w:rFonts w:ascii="Bookman Old Style" w:hAnsi="Bookman Old Style"/>
          <w:sz w:val="22"/>
          <w:szCs w:val="22"/>
        </w:rPr>
        <w:t>Penggunaan</w:t>
      </w:r>
      <w:proofErr w:type="spellEnd"/>
      <w:r w:rsidRPr="005317C5">
        <w:rPr>
          <w:rFonts w:ascii="Bookman Old Style" w:hAnsi="Bookman Old Style"/>
          <w:sz w:val="22"/>
          <w:szCs w:val="22"/>
        </w:rPr>
        <w:t xml:space="preserve"> </w:t>
      </w:r>
      <w:proofErr w:type="spellStart"/>
      <w:r w:rsidRPr="005317C5">
        <w:rPr>
          <w:rFonts w:ascii="Bookman Old Style" w:hAnsi="Bookman Old Style"/>
          <w:sz w:val="22"/>
          <w:szCs w:val="22"/>
        </w:rPr>
        <w:t>Gawai</w:t>
      </w:r>
      <w:proofErr w:type="spellEnd"/>
      <w:r w:rsidRPr="005317C5">
        <w:rPr>
          <w:rFonts w:ascii="Bookman Old Style" w:hAnsi="Bookman Old Style"/>
          <w:sz w:val="22"/>
          <w:szCs w:val="22"/>
        </w:rPr>
        <w:t xml:space="preserve"> (Gadget) pada </w:t>
      </w:r>
      <w:proofErr w:type="spellStart"/>
      <w:r w:rsidRPr="005317C5">
        <w:rPr>
          <w:rFonts w:ascii="Bookman Old Style" w:hAnsi="Bookman Old Style"/>
          <w:sz w:val="22"/>
          <w:szCs w:val="22"/>
        </w:rPr>
        <w:t>Kalangan</w:t>
      </w:r>
      <w:proofErr w:type="spellEnd"/>
      <w:r w:rsidRPr="005317C5">
        <w:rPr>
          <w:rFonts w:ascii="Bookman Old Style" w:hAnsi="Bookman Old Style"/>
          <w:sz w:val="22"/>
          <w:szCs w:val="22"/>
        </w:rPr>
        <w:t xml:space="preserve"> Remaja Suku Bajo,” </w:t>
      </w:r>
      <w:r w:rsidRPr="005317C5">
        <w:rPr>
          <w:rFonts w:ascii="Bookman Old Style" w:hAnsi="Bookman Old Style"/>
          <w:i/>
          <w:sz w:val="22"/>
          <w:szCs w:val="22"/>
        </w:rPr>
        <w:t>HNHS: Journal of Holistic Nursing and Health Science 2</w:t>
      </w:r>
      <w:r w:rsidRPr="005317C5">
        <w:rPr>
          <w:rFonts w:ascii="Bookman Old Style" w:hAnsi="Bookman Old Style"/>
          <w:sz w:val="22"/>
          <w:szCs w:val="22"/>
        </w:rPr>
        <w:t>, no. 2 (November 2019): 34</w:t>
      </w:r>
    </w:p>
    <w:p w14:paraId="6C09DD77" w14:textId="77777777" w:rsidR="00EE6B89" w:rsidRPr="005317C5" w:rsidRDefault="00EE6B89" w:rsidP="00756876">
      <w:pPr>
        <w:spacing w:line="360" w:lineRule="auto"/>
        <w:ind w:left="720" w:hanging="607"/>
        <w:jc w:val="both"/>
        <w:rPr>
          <w:rFonts w:ascii="Bookman Old Style" w:hAnsi="Bookman Old Style"/>
        </w:rPr>
      </w:pPr>
      <w:r w:rsidRPr="005317C5">
        <w:rPr>
          <w:rFonts w:ascii="Bookman Old Style" w:hAnsi="Bookman Old Style"/>
        </w:rPr>
        <w:t xml:space="preserve">Dulles, Avery. 1974. </w:t>
      </w:r>
      <w:r w:rsidRPr="005317C5">
        <w:rPr>
          <w:rFonts w:ascii="Bookman Old Style" w:hAnsi="Bookman Old Style"/>
          <w:i/>
        </w:rPr>
        <w:t xml:space="preserve">Models of the Church. </w:t>
      </w:r>
      <w:r w:rsidRPr="005317C5">
        <w:rPr>
          <w:rFonts w:ascii="Bookman Old Style" w:hAnsi="Bookman Old Style"/>
        </w:rPr>
        <w:t>New York: Doubleday 1974.</w:t>
      </w:r>
    </w:p>
    <w:p w14:paraId="51821C2F"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Erford, Bradley T. </w:t>
      </w:r>
      <w:r w:rsidRPr="005317C5">
        <w:rPr>
          <w:rFonts w:ascii="Bookman Old Style" w:hAnsi="Bookman Old Style"/>
          <w:i/>
          <w:sz w:val="22"/>
          <w:szCs w:val="22"/>
          <w:lang w:val="sv-SE"/>
        </w:rPr>
        <w:t>40 Teknik yang Harus Diketahui Setiap Konselor</w:t>
      </w:r>
      <w:r w:rsidRPr="005317C5">
        <w:rPr>
          <w:rFonts w:ascii="Bookman Old Style" w:hAnsi="Bookman Old Style"/>
          <w:sz w:val="22"/>
          <w:szCs w:val="22"/>
          <w:lang w:val="sv-SE"/>
        </w:rPr>
        <w:t>. Yogyakarta: Pustaka Belajar, 2016</w:t>
      </w:r>
    </w:p>
    <w:p w14:paraId="776DEC2F"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G, Ayu &amp; Triana. “Efektivitas Terapi Bermain Positif Reinforcement Untuk Mengurangi Kecanduan Gawai pada Anak,” (Skripsi, Universitas Surabaya, 2020)</w:t>
      </w:r>
    </w:p>
    <w:p w14:paraId="665A30C7"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Hanika, Ita Musfirowati. “Fenomena Phubbing di Era Milenial (Ketergantungan Seseorang pada Smartphone terhadap Lingkungannya)”, </w:t>
      </w:r>
      <w:r w:rsidRPr="005317C5">
        <w:rPr>
          <w:rFonts w:ascii="Bookman Old Style" w:hAnsi="Bookman Old Style"/>
          <w:i/>
          <w:sz w:val="22"/>
          <w:szCs w:val="22"/>
          <w:lang w:val="sv-SE"/>
        </w:rPr>
        <w:t>Jurnal Interaksi 4</w:t>
      </w:r>
      <w:r w:rsidRPr="005317C5">
        <w:rPr>
          <w:rFonts w:ascii="Bookman Old Style" w:hAnsi="Bookman Old Style"/>
          <w:sz w:val="22"/>
          <w:szCs w:val="22"/>
          <w:lang w:val="sv-SE"/>
        </w:rPr>
        <w:t>, no. 1 (Januari 2015): 50</w:t>
      </w:r>
    </w:p>
    <w:p w14:paraId="07801DF4" w14:textId="77777777" w:rsidR="00EE6B89" w:rsidRPr="005317C5" w:rsidRDefault="00EE6B89" w:rsidP="00756876">
      <w:pPr>
        <w:spacing w:after="0" w:line="360" w:lineRule="auto"/>
        <w:ind w:left="720" w:hanging="607"/>
        <w:jc w:val="both"/>
        <w:rPr>
          <w:rFonts w:ascii="Bookman Old Style" w:hAnsi="Bookman Old Style"/>
          <w:lang w:val="sv-SE"/>
        </w:rPr>
      </w:pPr>
      <w:r w:rsidRPr="005317C5">
        <w:rPr>
          <w:rFonts w:ascii="Bookman Old Style" w:hAnsi="Bookman Old Style"/>
          <w:lang w:val="sv-SE"/>
        </w:rPr>
        <w:t xml:space="preserve">Harapan, Edi &amp; Syarwani Ahmad. </w:t>
      </w:r>
      <w:r w:rsidRPr="005317C5">
        <w:rPr>
          <w:rFonts w:ascii="Bookman Old Style" w:hAnsi="Bookman Old Style"/>
          <w:i/>
          <w:lang w:val="sv-SE"/>
        </w:rPr>
        <w:t>Komunikasi Antarpribadi</w:t>
      </w:r>
      <w:r w:rsidRPr="005317C5">
        <w:rPr>
          <w:rFonts w:ascii="Bookman Old Style" w:hAnsi="Bookman Old Style"/>
          <w:lang w:val="sv-SE"/>
        </w:rPr>
        <w:t>. Jakarta: Rajagrafindo Persada, 2016.</w:t>
      </w:r>
    </w:p>
    <w:p w14:paraId="17C86F97"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Halawa, Fatieli. “Penggunaan Gadget Terhadap Pertumbuhan Kerohanian Remaja Kristen,” </w:t>
      </w:r>
      <w:r w:rsidRPr="005317C5">
        <w:rPr>
          <w:rFonts w:ascii="Bookman Old Style" w:hAnsi="Bookman Old Style"/>
          <w:i/>
          <w:sz w:val="22"/>
          <w:szCs w:val="22"/>
          <w:lang w:val="sv-SE"/>
        </w:rPr>
        <w:t>Sinar Kasih: Jurnal Pendidikan Agama dan Filasafat</w:t>
      </w:r>
      <w:r w:rsidRPr="005317C5">
        <w:rPr>
          <w:rFonts w:ascii="Bookman Old Style" w:hAnsi="Bookman Old Style"/>
          <w:sz w:val="22"/>
          <w:szCs w:val="22"/>
          <w:lang w:val="sv-SE"/>
        </w:rPr>
        <w:t>, 1 no. 3 (Agustus 2023): 1.</w:t>
      </w:r>
    </w:p>
    <w:p w14:paraId="32EAEBB2" w14:textId="77777777" w:rsidR="00EE6B89" w:rsidRPr="005317C5" w:rsidRDefault="00EE6B89" w:rsidP="00756876">
      <w:pPr>
        <w:pStyle w:val="FootnoteText"/>
        <w:spacing w:line="360" w:lineRule="auto"/>
        <w:ind w:left="720" w:hanging="607"/>
        <w:jc w:val="both"/>
        <w:rPr>
          <w:rFonts w:ascii="Bookman Old Style" w:hAnsi="Bookman Old Style"/>
          <w:i/>
          <w:sz w:val="22"/>
          <w:szCs w:val="22"/>
          <w:lang w:val="sv-SE"/>
        </w:rPr>
      </w:pPr>
      <w:r w:rsidRPr="005317C5">
        <w:rPr>
          <w:rFonts w:ascii="Bookman Old Style" w:hAnsi="Bookman Old Style"/>
          <w:sz w:val="22"/>
          <w:szCs w:val="22"/>
          <w:lang w:val="sv-SE"/>
        </w:rPr>
        <w:t xml:space="preserve">Jati &amp; Herawati, “Segmentasi Mahasiswa Program Studi Ilmu Komunikasi UAJY dalam Menggunakan Gadget,” </w:t>
      </w:r>
      <w:r w:rsidRPr="005317C5">
        <w:rPr>
          <w:rFonts w:ascii="Bookman Old Style" w:hAnsi="Bookman Old Style"/>
          <w:i/>
          <w:sz w:val="22"/>
          <w:szCs w:val="22"/>
        </w:rPr>
        <w:fldChar w:fldCharType="begin"/>
      </w:r>
      <w:r w:rsidRPr="005317C5">
        <w:rPr>
          <w:rFonts w:ascii="Bookman Old Style" w:hAnsi="Bookman Old Style"/>
          <w:i/>
          <w:sz w:val="22"/>
          <w:szCs w:val="22"/>
          <w:lang w:val="sv-SE"/>
        </w:rPr>
        <w:instrText xml:space="preserve"> HYPERLINK "http://e-journal.uajy.ac.id/5741/" </w:instrText>
      </w:r>
      <w:r w:rsidRPr="005317C5">
        <w:rPr>
          <w:rFonts w:ascii="Bookman Old Style" w:hAnsi="Bookman Old Style"/>
          <w:i/>
          <w:sz w:val="22"/>
          <w:szCs w:val="22"/>
        </w:rPr>
        <w:fldChar w:fldCharType="separate"/>
      </w:r>
      <w:r w:rsidRPr="005317C5">
        <w:rPr>
          <w:rStyle w:val="Hyperlink"/>
          <w:rFonts w:ascii="Bookman Old Style" w:hAnsi="Bookman Old Style"/>
          <w:i/>
          <w:sz w:val="22"/>
          <w:szCs w:val="22"/>
          <w:lang w:val="sv-SE"/>
        </w:rPr>
        <w:t>http://e-journal.uajy.ac.id/5741/</w:t>
      </w:r>
      <w:r w:rsidRPr="005317C5">
        <w:rPr>
          <w:rFonts w:ascii="Bookman Old Style" w:hAnsi="Bookman Old Style"/>
          <w:i/>
          <w:sz w:val="22"/>
          <w:szCs w:val="22"/>
        </w:rPr>
        <w:fldChar w:fldCharType="end"/>
      </w:r>
      <w:r w:rsidRPr="005317C5">
        <w:rPr>
          <w:rFonts w:ascii="Bookman Old Style" w:hAnsi="Bookman Old Style"/>
          <w:i/>
          <w:sz w:val="22"/>
          <w:szCs w:val="22"/>
          <w:lang w:val="sv-SE"/>
        </w:rPr>
        <w:t xml:space="preserve">. </w:t>
      </w:r>
    </w:p>
    <w:p w14:paraId="7960E7E6"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Jelita, Elvi Putri dkk. “Melindungi Anak di Era Digital: Peran Orang Tua Kristen dalam Mengelola Penggunaan Gadget dengan Bijak,” </w:t>
      </w:r>
      <w:r w:rsidRPr="005317C5">
        <w:rPr>
          <w:rFonts w:ascii="Bookman Old Style" w:hAnsi="Bookman Old Style"/>
          <w:i/>
          <w:sz w:val="22"/>
          <w:szCs w:val="22"/>
          <w:lang w:val="sv-SE"/>
        </w:rPr>
        <w:t>Real Didache: Jurnal of Christian EducationI</w:t>
      </w:r>
      <w:r w:rsidRPr="005317C5">
        <w:rPr>
          <w:rFonts w:ascii="Bookman Old Style" w:hAnsi="Bookman Old Style"/>
          <w:sz w:val="22"/>
          <w:szCs w:val="22"/>
          <w:lang w:val="sv-SE"/>
        </w:rPr>
        <w:t>, 4, no. 1 (Maret 2024): 52</w:t>
      </w:r>
    </w:p>
    <w:p w14:paraId="15AD5366"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lastRenderedPageBreak/>
        <w:t xml:space="preserve">Joseph, Priscillia Diane Joy dan Fredik Melkias Boiliu. “Peran Pendidikan Agama Kristen dalam Penggunaan Teknologi pada Anak,” </w:t>
      </w:r>
      <w:r w:rsidRPr="005317C5">
        <w:rPr>
          <w:rFonts w:ascii="Bookman Old Style" w:hAnsi="Bookman Old Style"/>
          <w:i/>
          <w:sz w:val="22"/>
          <w:szCs w:val="22"/>
          <w:lang w:val="sv-SE"/>
        </w:rPr>
        <w:t>Edukatif: Jurnal Ilmu Pendidikan</w:t>
      </w:r>
      <w:r w:rsidRPr="005317C5">
        <w:rPr>
          <w:rFonts w:ascii="Bookman Old Style" w:hAnsi="Bookman Old Style"/>
          <w:sz w:val="22"/>
          <w:szCs w:val="22"/>
          <w:lang w:val="sv-SE"/>
        </w:rPr>
        <w:t>, 3, no.4 (2021): 2037</w:t>
      </w:r>
    </w:p>
    <w:p w14:paraId="356538D0" w14:textId="77777777" w:rsidR="00EE6B89" w:rsidRPr="005317C5" w:rsidRDefault="00EE6B89" w:rsidP="00756876">
      <w:pPr>
        <w:spacing w:line="360" w:lineRule="auto"/>
        <w:ind w:left="720" w:hanging="607"/>
        <w:jc w:val="both"/>
        <w:rPr>
          <w:rFonts w:ascii="Bookman Old Style" w:hAnsi="Bookman Old Style"/>
        </w:rPr>
      </w:pPr>
      <w:r w:rsidRPr="005317C5">
        <w:rPr>
          <w:rFonts w:ascii="Bookman Old Style" w:hAnsi="Bookman Old Style"/>
        </w:rPr>
        <w:t xml:space="preserve">Latuheru, Grace &amp; Tatik Meiyutariningsi. “Application of Economy to Reduce Gadget Addiction to Children”, </w:t>
      </w:r>
      <w:r w:rsidRPr="005317C5">
        <w:rPr>
          <w:rFonts w:ascii="Bookman Old Style" w:hAnsi="Bookman Old Style"/>
          <w:i/>
        </w:rPr>
        <w:t>UMSIDA:</w:t>
      </w:r>
      <w:r w:rsidRPr="005317C5">
        <w:rPr>
          <w:rFonts w:ascii="Bookman Old Style" w:hAnsi="Bookman Old Style"/>
        </w:rPr>
        <w:t xml:space="preserve"> </w:t>
      </w:r>
      <w:r w:rsidRPr="005317C5">
        <w:rPr>
          <w:rFonts w:ascii="Bookman Old Style" w:hAnsi="Bookman Old Style"/>
          <w:i/>
        </w:rPr>
        <w:t>Proceedings of The ICERS, 8</w:t>
      </w:r>
      <w:r w:rsidRPr="005317C5">
        <w:rPr>
          <w:rFonts w:ascii="Bookman Old Style" w:hAnsi="Bookman Old Style"/>
        </w:rPr>
        <w:t>, (2020), 37</w:t>
      </w:r>
    </w:p>
    <w:p w14:paraId="2FB5DEF2" w14:textId="77777777" w:rsidR="00EE6B89" w:rsidRPr="00EE6B89"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Kala’tasik, Veronika Restu Manggala. “Perkumpulan yang Bisu: Analsisi Teologi tentang Dampak </w:t>
      </w:r>
      <w:r w:rsidRPr="005317C5">
        <w:rPr>
          <w:rFonts w:ascii="Bookman Old Style" w:hAnsi="Bookman Old Style"/>
          <w:i/>
          <w:sz w:val="22"/>
          <w:szCs w:val="22"/>
          <w:lang w:val="sv-SE"/>
        </w:rPr>
        <w:t>Smartphone</w:t>
      </w:r>
      <w:r w:rsidRPr="005317C5">
        <w:rPr>
          <w:rFonts w:ascii="Bookman Old Style" w:hAnsi="Bookman Old Style"/>
          <w:sz w:val="22"/>
          <w:szCs w:val="22"/>
          <w:lang w:val="sv-SE"/>
        </w:rPr>
        <w:t xml:space="preserve"> bagi Hubungan Sosial Remaja di Gereja Toraja Jemaat Tampo Klasis Mengkendek Timur”. Skripsi S1, STAKN Toraja, 2019</w:t>
      </w:r>
    </w:p>
    <w:p w14:paraId="0741455A" w14:textId="77777777" w:rsidR="00EE6B89" w:rsidRPr="005317C5" w:rsidRDefault="00EE6B89" w:rsidP="00756876">
      <w:pPr>
        <w:pStyle w:val="FootnoteText"/>
        <w:spacing w:line="360" w:lineRule="auto"/>
        <w:ind w:left="720" w:hanging="607"/>
        <w:jc w:val="both"/>
        <w:rPr>
          <w:rFonts w:ascii="Bookman Old Style" w:hAnsi="Bookman Old Style"/>
          <w:sz w:val="22"/>
          <w:szCs w:val="22"/>
        </w:rPr>
      </w:pPr>
      <w:r w:rsidRPr="005317C5">
        <w:rPr>
          <w:rFonts w:ascii="Bookman Old Style" w:hAnsi="Bookman Old Style"/>
          <w:sz w:val="22"/>
          <w:szCs w:val="22"/>
        </w:rPr>
        <w:t xml:space="preserve">Prima, Elizabeth &amp; Putu Indah Lestari. “The Improvement of The Discipline for Early Childhood </w:t>
      </w:r>
      <w:proofErr w:type="spellStart"/>
      <w:r w:rsidRPr="005317C5">
        <w:rPr>
          <w:rFonts w:ascii="Bookman Old Style" w:hAnsi="Bookman Old Style"/>
          <w:sz w:val="22"/>
          <w:szCs w:val="22"/>
        </w:rPr>
        <w:t>Trhough</w:t>
      </w:r>
      <w:proofErr w:type="spellEnd"/>
      <w:r w:rsidRPr="005317C5">
        <w:rPr>
          <w:rFonts w:ascii="Bookman Old Style" w:hAnsi="Bookman Old Style"/>
          <w:sz w:val="22"/>
          <w:szCs w:val="22"/>
        </w:rPr>
        <w:t xml:space="preserve"> Token Economy Technique”, </w:t>
      </w:r>
      <w:proofErr w:type="spellStart"/>
      <w:r w:rsidRPr="005317C5">
        <w:rPr>
          <w:rFonts w:ascii="Bookman Old Style" w:hAnsi="Bookman Old Style"/>
          <w:i/>
          <w:sz w:val="22"/>
          <w:szCs w:val="22"/>
        </w:rPr>
        <w:t>Obsesi</w:t>
      </w:r>
      <w:proofErr w:type="spellEnd"/>
      <w:r w:rsidRPr="005317C5">
        <w:rPr>
          <w:rFonts w:ascii="Bookman Old Style" w:hAnsi="Bookman Old Style"/>
          <w:i/>
          <w:sz w:val="22"/>
          <w:szCs w:val="22"/>
        </w:rPr>
        <w:t xml:space="preserve">: Jurnal Pendidikan Anak </w:t>
      </w:r>
      <w:proofErr w:type="spellStart"/>
      <w:r w:rsidRPr="005317C5">
        <w:rPr>
          <w:rFonts w:ascii="Bookman Old Style" w:hAnsi="Bookman Old Style"/>
          <w:i/>
          <w:sz w:val="22"/>
          <w:szCs w:val="22"/>
        </w:rPr>
        <w:t>Usia</w:t>
      </w:r>
      <w:proofErr w:type="spellEnd"/>
      <w:r w:rsidRPr="005317C5">
        <w:rPr>
          <w:rFonts w:ascii="Bookman Old Style" w:hAnsi="Bookman Old Style"/>
          <w:i/>
          <w:sz w:val="22"/>
          <w:szCs w:val="22"/>
        </w:rPr>
        <w:t xml:space="preserve"> Dini, 2</w:t>
      </w:r>
      <w:r w:rsidRPr="005317C5">
        <w:rPr>
          <w:rFonts w:ascii="Bookman Old Style" w:hAnsi="Bookman Old Style"/>
          <w:sz w:val="22"/>
          <w:szCs w:val="22"/>
        </w:rPr>
        <w:t>, no. 2 (2018), 2</w:t>
      </w:r>
    </w:p>
    <w:p w14:paraId="6E0E539A" w14:textId="0C1FE0F8" w:rsidR="00EE6B89" w:rsidRPr="005317C5" w:rsidRDefault="00EE6B89" w:rsidP="00756876">
      <w:pPr>
        <w:pStyle w:val="FootnoteText"/>
        <w:spacing w:line="360" w:lineRule="auto"/>
        <w:ind w:left="720" w:hanging="607"/>
        <w:jc w:val="both"/>
        <w:rPr>
          <w:rFonts w:ascii="Bookman Old Style" w:hAnsi="Bookman Old Style"/>
          <w:sz w:val="22"/>
          <w:szCs w:val="22"/>
        </w:rPr>
      </w:pPr>
      <w:r w:rsidRPr="005317C5">
        <w:rPr>
          <w:rFonts w:ascii="Bookman Old Style" w:hAnsi="Bookman Old Style"/>
          <w:sz w:val="22"/>
          <w:szCs w:val="22"/>
          <w:lang w:val="sv-SE"/>
        </w:rPr>
        <w:t xml:space="preserve">Purwanta, Edi. </w:t>
      </w:r>
      <w:r w:rsidRPr="005317C5">
        <w:rPr>
          <w:rFonts w:ascii="Bookman Old Style" w:hAnsi="Bookman Old Style"/>
          <w:i/>
          <w:sz w:val="22"/>
          <w:szCs w:val="22"/>
          <w:lang w:val="sv-SE"/>
        </w:rPr>
        <w:t>Modifikasi Perilaku</w:t>
      </w:r>
      <w:r w:rsidRPr="005317C5">
        <w:rPr>
          <w:rFonts w:ascii="Bookman Old Style" w:hAnsi="Bookman Old Style"/>
          <w:sz w:val="22"/>
          <w:szCs w:val="22"/>
          <w:lang w:val="sv-SE"/>
        </w:rPr>
        <w:t>. Yogyakarta: Pustaka Pelajar, 2005</w:t>
      </w:r>
      <w:r w:rsidRPr="00EE6B89">
        <w:rPr>
          <w:rFonts w:ascii="Bookman Old Style" w:hAnsi="Bookman Old Style"/>
          <w:sz w:val="22"/>
          <w:szCs w:val="22"/>
          <w:lang w:val="sv-SE"/>
        </w:rPr>
        <w:t xml:space="preserve">Santoso, Farhan Aldino. </w:t>
      </w:r>
      <w:r w:rsidRPr="005317C5">
        <w:rPr>
          <w:rFonts w:ascii="Bookman Old Style" w:hAnsi="Bookman Old Style"/>
          <w:sz w:val="22"/>
          <w:szCs w:val="22"/>
        </w:rPr>
        <w:t>“</w:t>
      </w:r>
      <w:proofErr w:type="spellStart"/>
      <w:r w:rsidRPr="005317C5">
        <w:rPr>
          <w:rFonts w:ascii="Bookman Old Style" w:hAnsi="Bookman Old Style"/>
          <w:sz w:val="22"/>
          <w:szCs w:val="22"/>
        </w:rPr>
        <w:t>Dampak</w:t>
      </w:r>
      <w:proofErr w:type="spellEnd"/>
      <w:r w:rsidRPr="005317C5">
        <w:rPr>
          <w:rFonts w:ascii="Bookman Old Style" w:hAnsi="Bookman Old Style"/>
          <w:sz w:val="22"/>
          <w:szCs w:val="22"/>
        </w:rPr>
        <w:t xml:space="preserve"> </w:t>
      </w:r>
      <w:proofErr w:type="spellStart"/>
      <w:r w:rsidRPr="005317C5">
        <w:rPr>
          <w:rFonts w:ascii="Bookman Old Style" w:hAnsi="Bookman Old Style"/>
          <w:sz w:val="22"/>
          <w:szCs w:val="22"/>
        </w:rPr>
        <w:t>Penggunaan</w:t>
      </w:r>
      <w:proofErr w:type="spellEnd"/>
      <w:r w:rsidRPr="005317C5">
        <w:rPr>
          <w:rFonts w:ascii="Bookman Old Style" w:hAnsi="Bookman Old Style"/>
          <w:sz w:val="22"/>
          <w:szCs w:val="22"/>
        </w:rPr>
        <w:t xml:space="preserve"> </w:t>
      </w:r>
      <w:proofErr w:type="spellStart"/>
      <w:r w:rsidRPr="005317C5">
        <w:rPr>
          <w:rFonts w:ascii="Bookman Old Style" w:hAnsi="Bookman Old Style"/>
          <w:sz w:val="22"/>
          <w:szCs w:val="22"/>
        </w:rPr>
        <w:t>Gawai</w:t>
      </w:r>
      <w:proofErr w:type="spellEnd"/>
      <w:r w:rsidRPr="005317C5">
        <w:rPr>
          <w:rFonts w:ascii="Bookman Old Style" w:hAnsi="Bookman Old Style"/>
          <w:sz w:val="22"/>
          <w:szCs w:val="22"/>
        </w:rPr>
        <w:t xml:space="preserve"> terhadap Pembelajaran Siswa SD”, </w:t>
      </w:r>
      <w:proofErr w:type="spellStart"/>
      <w:r w:rsidRPr="005317C5">
        <w:rPr>
          <w:rFonts w:ascii="Bookman Old Style" w:hAnsi="Bookman Old Style"/>
          <w:i/>
          <w:sz w:val="22"/>
          <w:szCs w:val="22"/>
        </w:rPr>
        <w:t>Edukatif</w:t>
      </w:r>
      <w:proofErr w:type="spellEnd"/>
      <w:r w:rsidRPr="005317C5">
        <w:rPr>
          <w:rFonts w:ascii="Bookman Old Style" w:hAnsi="Bookman Old Style"/>
          <w:i/>
          <w:sz w:val="22"/>
          <w:szCs w:val="22"/>
        </w:rPr>
        <w:t xml:space="preserve">: Jurnal </w:t>
      </w:r>
      <w:proofErr w:type="spellStart"/>
      <w:r w:rsidRPr="005317C5">
        <w:rPr>
          <w:rFonts w:ascii="Bookman Old Style" w:hAnsi="Bookman Old Style"/>
          <w:i/>
          <w:sz w:val="22"/>
          <w:szCs w:val="22"/>
        </w:rPr>
        <w:t>Ilmu</w:t>
      </w:r>
      <w:proofErr w:type="spellEnd"/>
      <w:r w:rsidRPr="005317C5">
        <w:rPr>
          <w:rFonts w:ascii="Bookman Old Style" w:hAnsi="Bookman Old Style"/>
          <w:i/>
          <w:sz w:val="22"/>
          <w:szCs w:val="22"/>
        </w:rPr>
        <w:t xml:space="preserve"> Pendidikan</w:t>
      </w:r>
      <w:r w:rsidRPr="005317C5">
        <w:rPr>
          <w:rFonts w:ascii="Bookman Old Style" w:hAnsi="Bookman Old Style"/>
          <w:sz w:val="22"/>
          <w:szCs w:val="22"/>
        </w:rPr>
        <w:t>, 2, no. 1 (April 2020), 2</w:t>
      </w:r>
    </w:p>
    <w:p w14:paraId="6D8B0B43" w14:textId="3E0630AF" w:rsidR="00EE6B89" w:rsidRPr="005317C5" w:rsidRDefault="00EE6B89" w:rsidP="00756876">
      <w:pPr>
        <w:spacing w:line="360" w:lineRule="auto"/>
        <w:ind w:left="720" w:hanging="607"/>
        <w:jc w:val="both"/>
        <w:rPr>
          <w:rFonts w:ascii="Bookman Old Style" w:hAnsi="Bookman Old Style"/>
          <w:lang w:val="sv-SE"/>
        </w:rPr>
      </w:pPr>
      <w:r w:rsidRPr="005317C5">
        <w:rPr>
          <w:rFonts w:ascii="Bookman Old Style" w:hAnsi="Bookman Old Style"/>
          <w:lang w:val="sv-SE"/>
        </w:rPr>
        <w:t xml:space="preserve">Situmorang, Samuelina. “Eksistensi Penggunaan Alkitab Manual di Tengah Perkembangan Iptek Dikalangan Umat Kristen Gereja Sabda Bayu Singaraja,” </w:t>
      </w:r>
      <w:r w:rsidRPr="005317C5">
        <w:rPr>
          <w:rFonts w:ascii="Bookman Old Style" w:hAnsi="Bookman Old Style"/>
          <w:i/>
          <w:lang w:val="sv-SE"/>
        </w:rPr>
        <w:t>Media Komunikasi FPIPS</w:t>
      </w:r>
      <w:r w:rsidRPr="005317C5">
        <w:rPr>
          <w:rFonts w:ascii="Bookman Old Style" w:hAnsi="Bookman Old Style"/>
          <w:lang w:val="sv-SE"/>
        </w:rPr>
        <w:t>, 15, no. 2 (2016): 2.</w:t>
      </w:r>
    </w:p>
    <w:p w14:paraId="0A3BEAC0" w14:textId="77777777" w:rsidR="00EE6B89" w:rsidRPr="005317C5" w:rsidRDefault="00EE6B89" w:rsidP="00756876">
      <w:pPr>
        <w:spacing w:after="0" w:line="360" w:lineRule="auto"/>
        <w:ind w:left="720" w:hanging="607"/>
        <w:jc w:val="both"/>
        <w:rPr>
          <w:rFonts w:ascii="Bookman Old Style" w:hAnsi="Bookman Old Style"/>
        </w:rPr>
      </w:pPr>
      <w:r w:rsidRPr="005317C5">
        <w:rPr>
          <w:rFonts w:ascii="Bookman Old Style" w:hAnsi="Bookman Old Style"/>
          <w:lang w:val="sv-SE"/>
        </w:rPr>
        <w:t xml:space="preserve">Setiawat, Yunias i dan Izzatul Fithriyah  </w:t>
      </w:r>
      <w:r w:rsidRPr="005317C5">
        <w:rPr>
          <w:rFonts w:ascii="Bookman Old Style" w:hAnsi="Bookman Old Style"/>
          <w:i/>
          <w:lang w:val="sv-SE"/>
        </w:rPr>
        <w:t>Deteksi dan Penanganan Kecanduan Gawai pada Anak</w:t>
      </w:r>
      <w:r w:rsidRPr="005317C5">
        <w:rPr>
          <w:rFonts w:ascii="Bookman Old Style" w:hAnsi="Bookman Old Style"/>
          <w:lang w:val="sv-SE"/>
        </w:rPr>
        <w:t xml:space="preserve">. </w:t>
      </w:r>
      <w:r w:rsidRPr="005317C5">
        <w:rPr>
          <w:rFonts w:ascii="Bookman Old Style" w:hAnsi="Bookman Old Style"/>
        </w:rPr>
        <w:t>Airlangga University Press, 2020</w:t>
      </w:r>
    </w:p>
    <w:p w14:paraId="37A98052" w14:textId="77777777" w:rsidR="00EE6B89" w:rsidRPr="005317C5" w:rsidRDefault="00EE6B89" w:rsidP="00756876">
      <w:pPr>
        <w:spacing w:after="0" w:line="360" w:lineRule="auto"/>
        <w:ind w:left="720" w:hanging="607"/>
        <w:jc w:val="both"/>
        <w:rPr>
          <w:rFonts w:ascii="Bookman Old Style" w:hAnsi="Bookman Old Style"/>
          <w:lang w:val="sv-SE"/>
        </w:rPr>
      </w:pPr>
      <w:r w:rsidRPr="005317C5">
        <w:rPr>
          <w:rFonts w:ascii="Bookman Old Style" w:hAnsi="Bookman Old Style"/>
        </w:rPr>
        <w:t xml:space="preserve">Wiryasaputra, Totok S. </w:t>
      </w:r>
      <w:r w:rsidRPr="005317C5">
        <w:rPr>
          <w:rFonts w:ascii="Bookman Old Style" w:hAnsi="Bookman Old Style"/>
          <w:i/>
        </w:rPr>
        <w:t>Konseling Pastoral Di era Milenial</w:t>
      </w:r>
      <w:r w:rsidRPr="005317C5">
        <w:rPr>
          <w:rFonts w:ascii="Bookman Old Style" w:hAnsi="Bookman Old Style"/>
        </w:rPr>
        <w:t xml:space="preserve">. </w:t>
      </w:r>
      <w:r w:rsidRPr="005317C5">
        <w:rPr>
          <w:rFonts w:ascii="Bookman Old Style" w:hAnsi="Bookman Old Style"/>
          <w:lang w:val="sv-SE"/>
        </w:rPr>
        <w:t>Yogyakarta: AKPI, 2019.</w:t>
      </w:r>
    </w:p>
    <w:p w14:paraId="11F7F358" w14:textId="58640193" w:rsidR="00EE6B89" w:rsidRPr="00EE6B89"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Widiawati, Sugiman &amp; Edy, “Pengaruh Penggunaan Gadget terhadap Daya Kembang Anak,” </w:t>
      </w:r>
      <w:r w:rsidRPr="005317C5">
        <w:rPr>
          <w:rFonts w:ascii="Bookman Old Style" w:hAnsi="Bookman Old Style"/>
          <w:i/>
          <w:sz w:val="22"/>
          <w:szCs w:val="22"/>
          <w:lang w:val="sv-SE"/>
        </w:rPr>
        <w:t>E-Journal Keperwatan, 6</w:t>
      </w:r>
      <w:r w:rsidRPr="005317C5">
        <w:rPr>
          <w:rFonts w:ascii="Bookman Old Style" w:hAnsi="Bookman Old Style"/>
          <w:sz w:val="22"/>
          <w:szCs w:val="22"/>
          <w:lang w:val="sv-SE"/>
        </w:rPr>
        <w:t>, no. 1 (2014)</w:t>
      </w:r>
    </w:p>
    <w:p w14:paraId="50E0C41C" w14:textId="77777777" w:rsidR="00EE6B89" w:rsidRPr="005317C5" w:rsidRDefault="00EE6B89" w:rsidP="00756876">
      <w:pPr>
        <w:pStyle w:val="FootnoteText"/>
        <w:spacing w:line="360" w:lineRule="auto"/>
        <w:ind w:left="720" w:hanging="607"/>
        <w:jc w:val="both"/>
        <w:rPr>
          <w:rFonts w:ascii="Bookman Old Style" w:hAnsi="Bookman Old Style"/>
          <w:sz w:val="22"/>
          <w:szCs w:val="22"/>
          <w:lang w:val="sv-SE"/>
        </w:rPr>
      </w:pPr>
      <w:r w:rsidRPr="005317C5">
        <w:rPr>
          <w:rFonts w:ascii="Bookman Old Style" w:hAnsi="Bookman Old Style"/>
          <w:sz w:val="22"/>
          <w:szCs w:val="22"/>
          <w:lang w:val="sv-SE"/>
        </w:rPr>
        <w:t xml:space="preserve">BBC Future, “Bagaimana Ponsel Pintar dan Media Sosial Mengubah Umat Kristen?” </w:t>
      </w:r>
      <w:hyperlink r:id="rId12" w:history="1">
        <w:r w:rsidRPr="005317C5">
          <w:rPr>
            <w:rStyle w:val="Hyperlink"/>
            <w:rFonts w:ascii="Bookman Old Style" w:hAnsi="Bookman Old Style"/>
            <w:sz w:val="22"/>
            <w:szCs w:val="22"/>
            <w:lang w:val="sv-SE"/>
          </w:rPr>
          <w:t>https://www.bbc.com/indonesia/vert-fut</w:t>
        </w:r>
      </w:hyperlink>
      <w:r w:rsidRPr="005317C5">
        <w:rPr>
          <w:rFonts w:ascii="Bookman Old Style" w:hAnsi="Bookman Old Style"/>
          <w:sz w:val="22"/>
          <w:szCs w:val="22"/>
          <w:lang w:val="sv-SE"/>
        </w:rPr>
        <w:t xml:space="preserve"> (diakses 07 Mei 2024)</w:t>
      </w:r>
    </w:p>
    <w:p w14:paraId="59D05165" w14:textId="77777777" w:rsidR="00EE6B89" w:rsidRPr="005317C5" w:rsidRDefault="00EE6B89" w:rsidP="00756876">
      <w:pPr>
        <w:spacing w:line="360" w:lineRule="auto"/>
        <w:ind w:left="720" w:hanging="607"/>
        <w:jc w:val="both"/>
        <w:rPr>
          <w:rFonts w:ascii="Bookman Old Style" w:hAnsi="Bookman Old Style"/>
        </w:rPr>
      </w:pPr>
      <w:r w:rsidRPr="005317C5">
        <w:rPr>
          <w:rFonts w:ascii="Bookman Old Style" w:hAnsi="Bookman Old Style"/>
        </w:rPr>
        <w:t xml:space="preserve">Ed Stedzer, dalam </w:t>
      </w:r>
      <w:hyperlink r:id="rId13" w:history="1">
        <w:r w:rsidRPr="005317C5">
          <w:rPr>
            <w:rStyle w:val="Hyperlink"/>
            <w:rFonts w:ascii="Bookman Old Style" w:hAnsi="Bookman Old Style"/>
          </w:rPr>
          <w:t>https://www.christianitytoday.com/edstetzer/2014/ways-technology-enables-mission-of-church.html</w:t>
        </w:r>
      </w:hyperlink>
    </w:p>
    <w:p w14:paraId="27CF66C3" w14:textId="77777777" w:rsidR="00EE6B89" w:rsidRPr="005317C5" w:rsidRDefault="00EE6B89" w:rsidP="00756876">
      <w:pPr>
        <w:spacing w:line="360" w:lineRule="auto"/>
        <w:ind w:left="720"/>
        <w:jc w:val="both"/>
        <w:rPr>
          <w:rFonts w:ascii="Bookman Old Style" w:hAnsi="Bookman Old Style"/>
        </w:rPr>
      </w:pPr>
    </w:p>
    <w:p w14:paraId="49FBECE9" w14:textId="77777777" w:rsidR="00E4296B" w:rsidRDefault="00E4296B" w:rsidP="00756876">
      <w:pPr>
        <w:spacing w:line="360" w:lineRule="auto"/>
        <w:rPr>
          <w:rFonts w:ascii="Bookman Old Style" w:eastAsia="Bookman Old Style" w:hAnsi="Bookman Old Style" w:cs="Bookman Old Style"/>
        </w:rPr>
      </w:pPr>
    </w:p>
    <w:sectPr w:rsidR="00E4296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01E26" w14:textId="77777777" w:rsidR="002539FE" w:rsidRDefault="002539FE" w:rsidP="00656E81">
      <w:pPr>
        <w:spacing w:after="0" w:line="240" w:lineRule="auto"/>
      </w:pPr>
      <w:r>
        <w:separator/>
      </w:r>
    </w:p>
  </w:endnote>
  <w:endnote w:type="continuationSeparator" w:id="0">
    <w:p w14:paraId="09120031" w14:textId="77777777" w:rsidR="002539FE" w:rsidRDefault="002539FE" w:rsidP="0065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539FE77-A6F2-43CC-87BC-714FE2B2E520}"/>
    <w:embedBold r:id="rId2" w:fontKey="{8AA595B4-DBF8-46C5-9D69-B77BB0134956}"/>
    <w:embedItalic r:id="rId3" w:fontKey="{10318AB6-9391-45D2-8915-18A8A67E7F6A}"/>
    <w:embedBoldItalic r:id="rId4" w:fontKey="{89E7F54C-85CB-45B6-81F1-05F3A15859D2}"/>
  </w:font>
  <w:font w:name="Bookman Old Style">
    <w:panose1 w:val="02050604050505020204"/>
    <w:charset w:val="00"/>
    <w:family w:val="roman"/>
    <w:pitch w:val="variable"/>
    <w:sig w:usb0="00000287" w:usb1="00000000" w:usb2="00000000" w:usb3="00000000" w:csb0="0000009F" w:csb1="00000000"/>
    <w:embedRegular r:id="rId5" w:fontKey="{3B68E7D4-1C8D-410E-BBBC-F14AC86FB98F}"/>
    <w:embedBold r:id="rId6" w:fontKey="{BA5048CE-BC50-448C-898C-41018D5AAB09}"/>
    <w:embedItalic r:id="rId7" w:fontKey="{3922596A-EF49-4122-88E8-15C075374ED8}"/>
    <w:embedBoldItalic r:id="rId8" w:fontKey="{8E08B60F-E7FF-410A-AB11-8BDBE7221326}"/>
  </w:font>
  <w:font w:name="Aptos">
    <w:charset w:val="00"/>
    <w:family w:val="swiss"/>
    <w:pitch w:val="variable"/>
    <w:sig w:usb0="20000287" w:usb1="00000003" w:usb2="00000000" w:usb3="00000000" w:csb0="0000019F" w:csb1="00000000"/>
    <w:embedRegular r:id="rId9" w:fontKey="{4F698C89-F4DA-4B9A-886B-AD772B971681}"/>
    <w:embedItalic r:id="rId10" w:fontKey="{98BC7679-7F72-4898-9802-BC6AC3239589}"/>
  </w:font>
  <w:font w:name="Aptos Display">
    <w:charset w:val="00"/>
    <w:family w:val="swiss"/>
    <w:pitch w:val="variable"/>
    <w:sig w:usb0="20000287" w:usb1="00000003" w:usb2="00000000" w:usb3="00000000" w:csb0="0000019F" w:csb1="00000000"/>
    <w:embedRegular r:id="rId11" w:fontKey="{F0A3A782-BA1C-4ED6-B149-16EDB26186AD}"/>
  </w:font>
  <w:font w:name="Corsiva">
    <w:charset w:val="00"/>
    <w:family w:val="auto"/>
    <w:pitch w:val="default"/>
    <w:embedRegular r:id="rId12" w:fontKey="{A0497FBA-C6C1-441B-A825-3331AAC89047}"/>
    <w:embedBoldItalic r:id="rId13" w:fontKey="{6A3866DB-406C-4422-B526-0D9A9FEA6633}"/>
  </w:font>
  <w:font w:name="Footlight MT Light">
    <w:panose1 w:val="0204060206030A020304"/>
    <w:charset w:val="00"/>
    <w:family w:val="roman"/>
    <w:pitch w:val="variable"/>
    <w:sig w:usb0="00000003" w:usb1="00000000" w:usb2="00000000" w:usb3="00000000" w:csb0="00000001" w:csb1="00000000"/>
    <w:embedRegular r:id="rId14" w:fontKey="{3C855030-82EB-4802-820E-0487DB54E724}"/>
    <w:embedItalic r:id="rId15" w:fontKey="{2FC5490B-BA01-4756-8C68-7191E52DC3C5}"/>
  </w:font>
  <w:font w:name="Palatino Linotype">
    <w:panose1 w:val="02040502050505030304"/>
    <w:charset w:val="00"/>
    <w:family w:val="roman"/>
    <w:pitch w:val="variable"/>
    <w:sig w:usb0="E0000287" w:usb1="40000013" w:usb2="00000000" w:usb3="00000000" w:csb0="0000019F" w:csb1="00000000"/>
    <w:embedRegular r:id="rId16" w:fontKey="{9B5F8DF8-387D-4331-8226-66969A3C0D34}"/>
    <w:embedItalic r:id="rId17" w:fontKey="{2D49D046-C210-4F58-AD08-2092A7A40FD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583849"/>
      <w:docPartObj>
        <w:docPartGallery w:val="Page Numbers (Bottom of Page)"/>
        <w:docPartUnique/>
      </w:docPartObj>
    </w:sdtPr>
    <w:sdtEndPr>
      <w:rPr>
        <w:noProof/>
      </w:rPr>
    </w:sdtEndPr>
    <w:sdtContent>
      <w:p w14:paraId="3FA5C985" w14:textId="761D6EAC" w:rsidR="002A3766" w:rsidRDefault="002A37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470B27" w14:textId="77777777" w:rsidR="002A3766" w:rsidRDefault="002A37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1CF53" w14:textId="77777777" w:rsidR="002539FE" w:rsidRDefault="002539FE" w:rsidP="00656E81">
      <w:pPr>
        <w:spacing w:after="0" w:line="240" w:lineRule="auto"/>
      </w:pPr>
      <w:r>
        <w:separator/>
      </w:r>
    </w:p>
  </w:footnote>
  <w:footnote w:type="continuationSeparator" w:id="0">
    <w:p w14:paraId="07A7C159" w14:textId="77777777" w:rsidR="002539FE" w:rsidRDefault="002539FE" w:rsidP="00656E81">
      <w:pPr>
        <w:spacing w:after="0" w:line="240" w:lineRule="auto"/>
      </w:pPr>
      <w:r>
        <w:continuationSeparator/>
      </w:r>
    </w:p>
  </w:footnote>
  <w:footnote w:id="1">
    <w:p w14:paraId="6BA436B4" w14:textId="77777777" w:rsidR="00656E81" w:rsidRPr="006E7D0A" w:rsidRDefault="00656E81" w:rsidP="00656E81">
      <w:pPr>
        <w:pStyle w:val="FootnoteText"/>
        <w:ind w:firstLine="323"/>
        <w:jc w:val="both"/>
        <w:rPr>
          <w:rFonts w:ascii="Footlight MT Light" w:hAnsi="Footlight MT Light"/>
        </w:rPr>
      </w:pPr>
      <w:r w:rsidRPr="006E7D0A">
        <w:rPr>
          <w:rStyle w:val="FootnoteReference"/>
          <w:rFonts w:ascii="Footlight MT Light" w:hAnsi="Footlight MT Light"/>
          <w:sz w:val="18"/>
        </w:rPr>
        <w:footnoteRef/>
      </w:r>
      <w:r w:rsidRPr="006E7D0A">
        <w:rPr>
          <w:rFonts w:ascii="Footlight MT Light" w:hAnsi="Footlight MT Light"/>
          <w:sz w:val="18"/>
        </w:rPr>
        <w:t xml:space="preserve"> </w:t>
      </w:r>
      <w:proofErr w:type="spellStart"/>
      <w:r w:rsidRPr="006E7D0A">
        <w:rPr>
          <w:rFonts w:ascii="Footlight MT Light" w:hAnsi="Footlight MT Light"/>
          <w:sz w:val="18"/>
        </w:rPr>
        <w:t>Chaidirman</w:t>
      </w:r>
      <w:proofErr w:type="spellEnd"/>
      <w:r w:rsidRPr="006E7D0A">
        <w:rPr>
          <w:rFonts w:ascii="Footlight MT Light" w:hAnsi="Footlight MT Light"/>
          <w:sz w:val="18"/>
        </w:rPr>
        <w:t xml:space="preserve">, </w:t>
      </w:r>
      <w:proofErr w:type="spellStart"/>
      <w:r w:rsidRPr="006E7D0A">
        <w:rPr>
          <w:rFonts w:ascii="Footlight MT Light" w:hAnsi="Footlight MT Light"/>
          <w:sz w:val="18"/>
        </w:rPr>
        <w:t>dkk</w:t>
      </w:r>
      <w:proofErr w:type="spellEnd"/>
      <w:r w:rsidRPr="006E7D0A">
        <w:rPr>
          <w:rFonts w:ascii="Footlight MT Light" w:hAnsi="Footlight MT Light"/>
          <w:sz w:val="18"/>
        </w:rPr>
        <w:t>, “</w:t>
      </w:r>
      <w:proofErr w:type="spellStart"/>
      <w:r w:rsidRPr="006E7D0A">
        <w:rPr>
          <w:rFonts w:ascii="Footlight MT Light" w:hAnsi="Footlight MT Light"/>
          <w:sz w:val="18"/>
        </w:rPr>
        <w:t>Fenomena</w:t>
      </w:r>
      <w:proofErr w:type="spellEnd"/>
      <w:r w:rsidRPr="006E7D0A">
        <w:rPr>
          <w:rFonts w:ascii="Footlight MT Light" w:hAnsi="Footlight MT Light"/>
          <w:sz w:val="18"/>
        </w:rPr>
        <w:t xml:space="preserve"> </w:t>
      </w:r>
      <w:proofErr w:type="spellStart"/>
      <w:r w:rsidRPr="006E7D0A">
        <w:rPr>
          <w:rFonts w:ascii="Footlight MT Light" w:hAnsi="Footlight MT Light"/>
          <w:sz w:val="18"/>
        </w:rPr>
        <w:t>Kecanduan</w:t>
      </w:r>
      <w:proofErr w:type="spellEnd"/>
      <w:r w:rsidRPr="006E7D0A">
        <w:rPr>
          <w:rFonts w:ascii="Footlight MT Light" w:hAnsi="Footlight MT Light"/>
          <w:sz w:val="18"/>
        </w:rPr>
        <w:t xml:space="preserve"> </w:t>
      </w:r>
      <w:proofErr w:type="spellStart"/>
      <w:r w:rsidRPr="006E7D0A">
        <w:rPr>
          <w:rFonts w:ascii="Footlight MT Light" w:hAnsi="Footlight MT Light"/>
          <w:sz w:val="18"/>
        </w:rPr>
        <w:t>Penggunaan</w:t>
      </w:r>
      <w:proofErr w:type="spellEnd"/>
      <w:r w:rsidRPr="006E7D0A">
        <w:rPr>
          <w:rFonts w:ascii="Footlight MT Light" w:hAnsi="Footlight MT Light"/>
          <w:sz w:val="18"/>
        </w:rPr>
        <w:t xml:space="preserve"> </w:t>
      </w:r>
      <w:proofErr w:type="spellStart"/>
      <w:r w:rsidRPr="006E7D0A">
        <w:rPr>
          <w:rFonts w:ascii="Footlight MT Light" w:hAnsi="Footlight MT Light"/>
          <w:sz w:val="18"/>
        </w:rPr>
        <w:t>Gawai</w:t>
      </w:r>
      <w:proofErr w:type="spellEnd"/>
      <w:r w:rsidRPr="006E7D0A">
        <w:rPr>
          <w:rFonts w:ascii="Footlight MT Light" w:hAnsi="Footlight MT Light"/>
          <w:sz w:val="18"/>
        </w:rPr>
        <w:t xml:space="preserve"> (Gadget) pada </w:t>
      </w:r>
      <w:proofErr w:type="spellStart"/>
      <w:r w:rsidRPr="006E7D0A">
        <w:rPr>
          <w:rFonts w:ascii="Footlight MT Light" w:hAnsi="Footlight MT Light"/>
          <w:sz w:val="18"/>
        </w:rPr>
        <w:t>Kalangan</w:t>
      </w:r>
      <w:proofErr w:type="spellEnd"/>
      <w:r w:rsidRPr="006E7D0A">
        <w:rPr>
          <w:rFonts w:ascii="Footlight MT Light" w:hAnsi="Footlight MT Light"/>
          <w:sz w:val="18"/>
        </w:rPr>
        <w:t xml:space="preserve"> Remaja Suku Bajo,” </w:t>
      </w:r>
      <w:r w:rsidRPr="006E7D0A">
        <w:rPr>
          <w:rFonts w:ascii="Footlight MT Light" w:hAnsi="Footlight MT Light"/>
          <w:i/>
          <w:sz w:val="18"/>
        </w:rPr>
        <w:t>HNHS: Journal of Holistic Nursing and Health Science 2</w:t>
      </w:r>
      <w:r w:rsidRPr="006E7D0A">
        <w:rPr>
          <w:rFonts w:ascii="Footlight MT Light" w:hAnsi="Footlight MT Light"/>
          <w:sz w:val="18"/>
        </w:rPr>
        <w:t>, no. 2 (November 2019): 34</w:t>
      </w:r>
    </w:p>
  </w:footnote>
  <w:footnote w:id="2">
    <w:p w14:paraId="15D37A60" w14:textId="77777777" w:rsidR="00656E81" w:rsidRPr="005317C5" w:rsidRDefault="00656E81" w:rsidP="00656E81">
      <w:pPr>
        <w:pStyle w:val="FootnoteText"/>
        <w:ind w:firstLine="323"/>
        <w:jc w:val="both"/>
        <w:rPr>
          <w:rFonts w:ascii="Times New Roman" w:hAnsi="Times New Roman"/>
          <w:lang w:val="sv-SE"/>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Ita Musfirowati Hanika, “Fenomena Phubbing di Era Milenial (Ketergantungan Seseorang pada Smartphone terhadap Lingkungannya)”, </w:t>
      </w:r>
      <w:r w:rsidRPr="005317C5">
        <w:rPr>
          <w:rFonts w:ascii="Footlight MT Light" w:hAnsi="Footlight MT Light"/>
          <w:i/>
          <w:sz w:val="18"/>
          <w:lang w:val="sv-SE"/>
        </w:rPr>
        <w:t>Jurnal Interaksi 4</w:t>
      </w:r>
      <w:r w:rsidRPr="005317C5">
        <w:rPr>
          <w:rFonts w:ascii="Footlight MT Light" w:hAnsi="Footlight MT Light"/>
          <w:sz w:val="18"/>
          <w:lang w:val="sv-SE"/>
        </w:rPr>
        <w:t>, no. 1 (Januari 2015): 50</w:t>
      </w:r>
    </w:p>
  </w:footnote>
  <w:footnote w:id="3">
    <w:p w14:paraId="6D0A6666" w14:textId="77777777" w:rsidR="00656E81" w:rsidRPr="005317C5" w:rsidRDefault="00656E81" w:rsidP="00656E81">
      <w:pPr>
        <w:pStyle w:val="FootnoteText"/>
        <w:ind w:firstLine="323"/>
        <w:jc w:val="both"/>
        <w:rPr>
          <w:rFonts w:ascii="Footlight MT Light" w:hAnsi="Footlight MT Light"/>
          <w:lang w:val="sv-SE"/>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Fatieli Halawa, “Penggunaan Gadget Terhadap Pertumbuhan Kerohanian Remaja Kristen,” </w:t>
      </w:r>
      <w:r w:rsidRPr="005317C5">
        <w:rPr>
          <w:rFonts w:ascii="Footlight MT Light" w:hAnsi="Footlight MT Light"/>
          <w:i/>
          <w:sz w:val="18"/>
          <w:lang w:val="sv-SE"/>
        </w:rPr>
        <w:t>Sinar Kasih: Jurnal Pendidikan Agama dan Filasafat</w:t>
      </w:r>
      <w:r w:rsidRPr="005317C5">
        <w:rPr>
          <w:rFonts w:ascii="Footlight MT Light" w:hAnsi="Footlight MT Light"/>
          <w:sz w:val="18"/>
          <w:lang w:val="sv-SE"/>
        </w:rPr>
        <w:t>, 1 no. 3 (Agustus 2023): 1.</w:t>
      </w:r>
    </w:p>
  </w:footnote>
  <w:footnote w:id="4">
    <w:p w14:paraId="430759BB" w14:textId="77777777" w:rsidR="00656E81" w:rsidRPr="005317C5" w:rsidRDefault="00656E81" w:rsidP="00656E81">
      <w:pPr>
        <w:pStyle w:val="FootnoteText"/>
        <w:ind w:firstLine="323"/>
        <w:jc w:val="both"/>
        <w:rPr>
          <w:rFonts w:ascii="Footlight MT Light" w:hAnsi="Footlight MT Light"/>
          <w:lang w:val="sv-SE"/>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BBC </w:t>
      </w:r>
      <w:r w:rsidRPr="005317C5">
        <w:rPr>
          <w:rFonts w:ascii="Footlight MT Light" w:hAnsi="Footlight MT Light"/>
          <w:sz w:val="18"/>
          <w:lang w:val="sv-SE"/>
        </w:rPr>
        <w:t xml:space="preserve">Future, “Bagaimana Ponsel Pintar dan Media Sosial Mengubah Umat Kristen?” </w:t>
      </w:r>
      <w:r w:rsidRPr="006E7D0A">
        <w:rPr>
          <w:rFonts w:ascii="Footlight MT Light" w:hAnsi="Footlight MT Light"/>
          <w:sz w:val="18"/>
        </w:rPr>
        <w:fldChar w:fldCharType="begin"/>
      </w:r>
      <w:r w:rsidRPr="005317C5">
        <w:rPr>
          <w:rFonts w:ascii="Footlight MT Light" w:hAnsi="Footlight MT Light"/>
          <w:sz w:val="18"/>
          <w:lang w:val="sv-SE"/>
        </w:rPr>
        <w:instrText xml:space="preserve"> HYPERLINK "https://www.bbc.com/indonesia/vert-fut" </w:instrText>
      </w:r>
      <w:r w:rsidRPr="006E7D0A">
        <w:rPr>
          <w:rFonts w:ascii="Footlight MT Light" w:hAnsi="Footlight MT Light"/>
          <w:sz w:val="18"/>
        </w:rPr>
        <w:fldChar w:fldCharType="separate"/>
      </w:r>
      <w:r w:rsidRPr="005317C5">
        <w:rPr>
          <w:rStyle w:val="Hyperlink"/>
          <w:rFonts w:ascii="Footlight MT Light" w:hAnsi="Footlight MT Light"/>
          <w:sz w:val="18"/>
          <w:lang w:val="sv-SE"/>
        </w:rPr>
        <w:t>https://www.bbc.com/indonesia/vert-fut</w:t>
      </w:r>
      <w:r w:rsidRPr="006E7D0A">
        <w:rPr>
          <w:rFonts w:ascii="Footlight MT Light" w:hAnsi="Footlight MT Light"/>
          <w:sz w:val="18"/>
        </w:rPr>
        <w:fldChar w:fldCharType="end"/>
      </w:r>
      <w:r w:rsidRPr="005317C5">
        <w:rPr>
          <w:rFonts w:ascii="Footlight MT Light" w:hAnsi="Footlight MT Light"/>
          <w:sz w:val="18"/>
          <w:lang w:val="sv-SE"/>
        </w:rPr>
        <w:t xml:space="preserve"> (diakses 07 Mei 2024)</w:t>
      </w:r>
    </w:p>
  </w:footnote>
  <w:footnote w:id="5">
    <w:p w14:paraId="5AA5FCDD" w14:textId="77777777" w:rsidR="00EE6B89" w:rsidRPr="005317C5" w:rsidRDefault="00EE6B89" w:rsidP="00EE6B89">
      <w:pPr>
        <w:pStyle w:val="FootnoteText"/>
        <w:ind w:left="113" w:firstLine="607"/>
        <w:jc w:val="both"/>
        <w:rPr>
          <w:rFonts w:ascii="Footlight MT Light" w:hAnsi="Footlight MT Light"/>
          <w:sz w:val="18"/>
          <w:szCs w:val="18"/>
          <w:lang w:val="sv-SE"/>
        </w:rPr>
      </w:pPr>
      <w:r w:rsidRPr="006E7D0A">
        <w:rPr>
          <w:rStyle w:val="FootnoteReference"/>
          <w:rFonts w:ascii="Footlight MT Light" w:hAnsi="Footlight MT Light"/>
          <w:sz w:val="18"/>
          <w:szCs w:val="18"/>
        </w:rPr>
        <w:footnoteRef/>
      </w:r>
      <w:r w:rsidRPr="005317C5">
        <w:rPr>
          <w:rFonts w:ascii="Footlight MT Light" w:hAnsi="Footlight MT Light"/>
          <w:sz w:val="18"/>
          <w:szCs w:val="18"/>
          <w:lang w:val="sv-SE"/>
        </w:rPr>
        <w:t xml:space="preserve"> </w:t>
      </w:r>
      <w:r w:rsidRPr="005317C5">
        <w:rPr>
          <w:rFonts w:ascii="Footlight MT Light" w:hAnsi="Footlight MT Light"/>
          <w:sz w:val="18"/>
          <w:szCs w:val="18"/>
          <w:lang w:val="sv-SE"/>
        </w:rPr>
        <w:t xml:space="preserve">Farhan Aldino Santoso, “Dampak Penggunaan Gawai terhadap Pembelajaran Siswa SD”, </w:t>
      </w:r>
      <w:r w:rsidRPr="005317C5">
        <w:rPr>
          <w:rFonts w:ascii="Footlight MT Light" w:hAnsi="Footlight MT Light"/>
          <w:i/>
          <w:sz w:val="18"/>
          <w:szCs w:val="18"/>
          <w:lang w:val="sv-SE"/>
        </w:rPr>
        <w:t>Edukatif: Jurnal Ilmu Pendidikan</w:t>
      </w:r>
      <w:r w:rsidRPr="005317C5">
        <w:rPr>
          <w:rFonts w:ascii="Footlight MT Light" w:hAnsi="Footlight MT Light"/>
          <w:sz w:val="18"/>
          <w:szCs w:val="18"/>
          <w:lang w:val="sv-SE"/>
        </w:rPr>
        <w:t>, 2, no. 1 (April 2020), 2</w:t>
      </w:r>
    </w:p>
  </w:footnote>
  <w:footnote w:id="6">
    <w:p w14:paraId="2CE282B4" w14:textId="77777777" w:rsidR="00EE6B89" w:rsidRPr="005317C5" w:rsidRDefault="00EE6B89" w:rsidP="00EE6B89">
      <w:pPr>
        <w:pStyle w:val="FootnoteText"/>
        <w:ind w:firstLine="323"/>
        <w:jc w:val="both"/>
        <w:rPr>
          <w:rFonts w:ascii="Footlight MT Light" w:hAnsi="Footlight MT Light"/>
          <w:lang w:val="sv-SE"/>
        </w:rPr>
      </w:pPr>
      <w:r w:rsidRPr="00F11941">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Elvi Putri Jelita, dkk, “Melindungi Anak di Era Digital: Peran Orang Tua Kristen dalam Mengelola Penggunaan Gadget dengan Bijak,” </w:t>
      </w:r>
      <w:r w:rsidRPr="005317C5">
        <w:rPr>
          <w:rFonts w:ascii="Footlight MT Light" w:hAnsi="Footlight MT Light"/>
          <w:i/>
          <w:sz w:val="18"/>
          <w:lang w:val="sv-SE"/>
        </w:rPr>
        <w:t>Real Didache: Jurnal of Christian EducationI</w:t>
      </w:r>
      <w:r w:rsidRPr="005317C5">
        <w:rPr>
          <w:rFonts w:ascii="Footlight MT Light" w:hAnsi="Footlight MT Light"/>
          <w:sz w:val="18"/>
          <w:lang w:val="sv-SE"/>
        </w:rPr>
        <w:t>, 4, no. 1 (Maret 2024): 52</w:t>
      </w:r>
    </w:p>
  </w:footnote>
  <w:footnote w:id="7">
    <w:p w14:paraId="08BCF3C2" w14:textId="77777777" w:rsidR="00EE6B89" w:rsidRPr="005317C5" w:rsidRDefault="00EE6B89" w:rsidP="00EE6B89">
      <w:pPr>
        <w:pStyle w:val="FootnoteText"/>
        <w:ind w:firstLine="323"/>
        <w:jc w:val="both"/>
        <w:rPr>
          <w:rFonts w:ascii="Footlight MT Light" w:hAnsi="Footlight MT Light"/>
          <w:sz w:val="18"/>
          <w:szCs w:val="18"/>
          <w:lang w:val="sv-SE"/>
        </w:rPr>
      </w:pPr>
      <w:r w:rsidRPr="006E7D0A">
        <w:rPr>
          <w:rStyle w:val="FootnoteReference"/>
          <w:rFonts w:ascii="Footlight MT Light" w:hAnsi="Footlight MT Light"/>
          <w:sz w:val="18"/>
          <w:szCs w:val="18"/>
        </w:rPr>
        <w:footnoteRef/>
      </w:r>
      <w:r w:rsidRPr="005317C5">
        <w:rPr>
          <w:rFonts w:ascii="Footlight MT Light" w:hAnsi="Footlight MT Light"/>
          <w:sz w:val="18"/>
          <w:szCs w:val="18"/>
          <w:lang w:val="sv-SE"/>
        </w:rPr>
        <w:t xml:space="preserve"> </w:t>
      </w:r>
      <w:r w:rsidRPr="005317C5">
        <w:rPr>
          <w:rFonts w:ascii="Footlight MT Light" w:hAnsi="Footlight MT Light"/>
          <w:sz w:val="18"/>
          <w:szCs w:val="18"/>
          <w:lang w:val="sv-SE"/>
        </w:rPr>
        <w:t xml:space="preserve">Widiawati, </w:t>
      </w:r>
      <w:r w:rsidRPr="005317C5">
        <w:rPr>
          <w:rFonts w:ascii="Footlight MT Light" w:hAnsi="Footlight MT Light"/>
          <w:sz w:val="18"/>
          <w:szCs w:val="18"/>
          <w:lang w:val="sv-SE"/>
        </w:rPr>
        <w:t xml:space="preserve">Sugiman &amp; Edy, “Pengaruh Penggunaan Gadget terhadap Daya Kembang Anak,” </w:t>
      </w:r>
      <w:r w:rsidRPr="005317C5">
        <w:rPr>
          <w:rFonts w:ascii="Footlight MT Light" w:hAnsi="Footlight MT Light"/>
          <w:i/>
          <w:sz w:val="18"/>
          <w:szCs w:val="18"/>
          <w:lang w:val="sv-SE"/>
        </w:rPr>
        <w:t>E-Journal Keperwatan, 6</w:t>
      </w:r>
      <w:r w:rsidRPr="005317C5">
        <w:rPr>
          <w:rFonts w:ascii="Footlight MT Light" w:hAnsi="Footlight MT Light"/>
          <w:sz w:val="18"/>
          <w:szCs w:val="18"/>
          <w:lang w:val="sv-SE"/>
        </w:rPr>
        <w:t>, no. 1 (2014)</w:t>
      </w:r>
    </w:p>
  </w:footnote>
  <w:footnote w:id="8">
    <w:p w14:paraId="53E00E13" w14:textId="77777777" w:rsidR="00EE6B89" w:rsidRPr="005317C5" w:rsidRDefault="00EE6B89" w:rsidP="00EE6B89">
      <w:pPr>
        <w:pStyle w:val="FootnoteText"/>
        <w:ind w:left="113" w:firstLine="607"/>
        <w:jc w:val="both"/>
        <w:rPr>
          <w:rFonts w:ascii="Times New Roman" w:hAnsi="Times New Roman"/>
          <w:i/>
          <w:sz w:val="18"/>
          <w:szCs w:val="18"/>
          <w:lang w:val="sv-SE"/>
        </w:rPr>
      </w:pPr>
      <w:r w:rsidRPr="006E7D0A">
        <w:rPr>
          <w:rStyle w:val="FootnoteReference"/>
          <w:rFonts w:ascii="Footlight MT Light" w:hAnsi="Footlight MT Light"/>
          <w:sz w:val="18"/>
          <w:szCs w:val="18"/>
        </w:rPr>
        <w:footnoteRef/>
      </w:r>
      <w:r w:rsidRPr="005317C5">
        <w:rPr>
          <w:rFonts w:ascii="Footlight MT Light" w:hAnsi="Footlight MT Light"/>
          <w:sz w:val="18"/>
          <w:szCs w:val="18"/>
          <w:lang w:val="sv-SE"/>
        </w:rPr>
        <w:t xml:space="preserve"> </w:t>
      </w:r>
      <w:r w:rsidRPr="005317C5">
        <w:rPr>
          <w:rFonts w:ascii="Footlight MT Light" w:hAnsi="Footlight MT Light"/>
          <w:sz w:val="18"/>
          <w:szCs w:val="18"/>
          <w:lang w:val="sv-SE"/>
        </w:rPr>
        <w:t xml:space="preserve">Jati &amp; Herawati, “Segmentasi Mahasiswa Program Studi Ilmu Komunikasi UAJY dalam Menggunakan Gadget,” </w:t>
      </w:r>
      <w:r w:rsidRPr="006E7D0A">
        <w:rPr>
          <w:rFonts w:ascii="Footlight MT Light" w:hAnsi="Footlight MT Light"/>
          <w:i/>
          <w:sz w:val="18"/>
          <w:szCs w:val="18"/>
        </w:rPr>
        <w:fldChar w:fldCharType="begin"/>
      </w:r>
      <w:r w:rsidRPr="005317C5">
        <w:rPr>
          <w:rFonts w:ascii="Footlight MT Light" w:hAnsi="Footlight MT Light"/>
          <w:i/>
          <w:sz w:val="18"/>
          <w:szCs w:val="18"/>
          <w:lang w:val="sv-SE"/>
        </w:rPr>
        <w:instrText xml:space="preserve"> HYPERLINK "http://e-journal.uajy.ac.id/5741/" </w:instrText>
      </w:r>
      <w:r w:rsidRPr="006E7D0A">
        <w:rPr>
          <w:rFonts w:ascii="Footlight MT Light" w:hAnsi="Footlight MT Light"/>
          <w:i/>
          <w:sz w:val="18"/>
          <w:szCs w:val="18"/>
        </w:rPr>
        <w:fldChar w:fldCharType="separate"/>
      </w:r>
      <w:r w:rsidRPr="005317C5">
        <w:rPr>
          <w:rStyle w:val="Hyperlink"/>
          <w:rFonts w:ascii="Footlight MT Light" w:hAnsi="Footlight MT Light"/>
          <w:i/>
          <w:sz w:val="18"/>
          <w:szCs w:val="18"/>
          <w:lang w:val="sv-SE"/>
        </w:rPr>
        <w:t>http://e-journal.uajy.ac.id/5741/</w:t>
      </w:r>
      <w:r w:rsidRPr="006E7D0A">
        <w:rPr>
          <w:rFonts w:ascii="Footlight MT Light" w:hAnsi="Footlight MT Light"/>
          <w:i/>
          <w:sz w:val="18"/>
          <w:szCs w:val="18"/>
        </w:rPr>
        <w:fldChar w:fldCharType="end"/>
      </w:r>
      <w:r w:rsidRPr="005317C5">
        <w:rPr>
          <w:rFonts w:ascii="Footlight MT Light" w:hAnsi="Footlight MT Light"/>
          <w:i/>
          <w:sz w:val="18"/>
          <w:szCs w:val="18"/>
          <w:lang w:val="sv-SE"/>
        </w:rPr>
        <w:t>.</w:t>
      </w:r>
      <w:r w:rsidRPr="005317C5">
        <w:rPr>
          <w:rFonts w:ascii="Times New Roman" w:hAnsi="Times New Roman"/>
          <w:i/>
          <w:sz w:val="18"/>
          <w:szCs w:val="18"/>
          <w:lang w:val="sv-SE"/>
        </w:rPr>
        <w:t xml:space="preserve"> </w:t>
      </w:r>
    </w:p>
  </w:footnote>
  <w:footnote w:id="9">
    <w:p w14:paraId="5588DC5F" w14:textId="77777777" w:rsidR="00EE6B89" w:rsidRPr="005317C5" w:rsidRDefault="00EE6B89" w:rsidP="00EE6B89">
      <w:pPr>
        <w:pStyle w:val="FootnoteText"/>
        <w:ind w:left="113" w:firstLine="607"/>
        <w:jc w:val="both"/>
        <w:rPr>
          <w:rFonts w:ascii="Footlight MT Light" w:hAnsi="Footlight MT Light"/>
          <w:sz w:val="18"/>
          <w:szCs w:val="18"/>
          <w:lang w:val="sv-SE"/>
        </w:rPr>
      </w:pPr>
      <w:r w:rsidRPr="006E7D0A">
        <w:rPr>
          <w:rStyle w:val="FootnoteReference"/>
          <w:rFonts w:ascii="Footlight MT Light" w:hAnsi="Footlight MT Light"/>
          <w:sz w:val="18"/>
          <w:szCs w:val="18"/>
        </w:rPr>
        <w:footnoteRef/>
      </w:r>
      <w:r w:rsidRPr="005317C5">
        <w:rPr>
          <w:rFonts w:ascii="Footlight MT Light" w:hAnsi="Footlight MT Light"/>
          <w:sz w:val="18"/>
          <w:szCs w:val="18"/>
          <w:lang w:val="sv-SE"/>
        </w:rPr>
        <w:t xml:space="preserve"> </w:t>
      </w:r>
      <w:r w:rsidRPr="005317C5">
        <w:rPr>
          <w:rFonts w:ascii="Footlight MT Light" w:hAnsi="Footlight MT Light"/>
          <w:sz w:val="18"/>
          <w:szCs w:val="18"/>
          <w:lang w:val="sv-SE"/>
        </w:rPr>
        <w:t xml:space="preserve">Yunias Setiawati dan Izzatul Fithriyah,  </w:t>
      </w:r>
      <w:r w:rsidRPr="005317C5">
        <w:rPr>
          <w:rFonts w:ascii="Footlight MT Light" w:hAnsi="Footlight MT Light"/>
          <w:i/>
          <w:sz w:val="18"/>
          <w:szCs w:val="18"/>
          <w:lang w:val="sv-SE"/>
        </w:rPr>
        <w:t>Deteksi dan Penanganan Kecanduan Gawai pada Anak</w:t>
      </w:r>
      <w:r w:rsidRPr="005317C5">
        <w:rPr>
          <w:rFonts w:ascii="Footlight MT Light" w:hAnsi="Footlight MT Light"/>
          <w:sz w:val="18"/>
          <w:szCs w:val="18"/>
          <w:lang w:val="sv-SE"/>
        </w:rPr>
        <w:t xml:space="preserve"> (Airlangga University Press, 2020), 1</w:t>
      </w:r>
    </w:p>
  </w:footnote>
  <w:footnote w:id="10">
    <w:p w14:paraId="7E7B10CF" w14:textId="77777777" w:rsidR="00EE6B89" w:rsidRPr="005317C5" w:rsidRDefault="00EE6B89" w:rsidP="00EE6B89">
      <w:pPr>
        <w:pStyle w:val="FootnoteText"/>
        <w:ind w:left="113" w:firstLine="607"/>
        <w:jc w:val="both"/>
        <w:rPr>
          <w:rFonts w:ascii="Footlight MT Light" w:hAnsi="Footlight MT Light"/>
          <w:lang w:val="sv-SE"/>
        </w:rPr>
      </w:pPr>
      <w:r w:rsidRPr="006E7D0A">
        <w:rPr>
          <w:rStyle w:val="FootnoteReference"/>
          <w:rFonts w:ascii="Footlight MT Light" w:hAnsi="Footlight MT Light"/>
          <w:sz w:val="18"/>
          <w:szCs w:val="18"/>
        </w:rPr>
        <w:footnoteRef/>
      </w:r>
      <w:r w:rsidRPr="005317C5">
        <w:rPr>
          <w:rFonts w:ascii="Footlight MT Light" w:hAnsi="Footlight MT Light"/>
          <w:sz w:val="18"/>
          <w:szCs w:val="18"/>
          <w:lang w:val="sv-SE"/>
        </w:rPr>
        <w:t xml:space="preserve"> </w:t>
      </w:r>
      <w:r w:rsidRPr="005317C5">
        <w:rPr>
          <w:rFonts w:ascii="Footlight MT Light" w:hAnsi="Footlight MT Light"/>
          <w:sz w:val="18"/>
          <w:szCs w:val="18"/>
          <w:lang w:val="sv-SE"/>
        </w:rPr>
        <w:t>Ayu, G &amp; Triana, “Efektivitas Terapi Bermain Positif Reinforcement Untuk Mengurangi Kecanduan Gawai pada Anak,” (Skripsi, Universitas Surabaya, 2020)</w:t>
      </w:r>
    </w:p>
  </w:footnote>
  <w:footnote w:id="11">
    <w:p w14:paraId="5240CF68" w14:textId="77777777" w:rsidR="00EE6B89" w:rsidRPr="005317C5" w:rsidRDefault="00EE6B89" w:rsidP="00EE6B89">
      <w:pPr>
        <w:pStyle w:val="FootnoteText"/>
        <w:ind w:left="113" w:firstLine="607"/>
        <w:jc w:val="both"/>
        <w:rPr>
          <w:rFonts w:ascii="Footlight MT Light" w:hAnsi="Footlight MT Light"/>
          <w:lang w:val="sv-SE"/>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Veronika </w:t>
      </w:r>
      <w:r w:rsidRPr="005317C5">
        <w:rPr>
          <w:rFonts w:ascii="Footlight MT Light" w:hAnsi="Footlight MT Light"/>
          <w:sz w:val="18"/>
          <w:lang w:val="sv-SE"/>
        </w:rPr>
        <w:t xml:space="preserve">Restu Manggala Kala’tasik, “Perkumpulan yang Bisu: Analsisi Teologi tentang Dampak </w:t>
      </w:r>
      <w:r w:rsidRPr="005317C5">
        <w:rPr>
          <w:rFonts w:ascii="Footlight MT Light" w:hAnsi="Footlight MT Light"/>
          <w:i/>
          <w:sz w:val="18"/>
          <w:lang w:val="sv-SE"/>
        </w:rPr>
        <w:t>Smartphone</w:t>
      </w:r>
      <w:r w:rsidRPr="005317C5">
        <w:rPr>
          <w:rFonts w:ascii="Footlight MT Light" w:hAnsi="Footlight MT Light"/>
          <w:sz w:val="18"/>
          <w:lang w:val="sv-SE"/>
        </w:rPr>
        <w:t xml:space="preserve"> bagi Hubungan Sosial Remaja di Gereja Toraja Jemaat Tampo Klasis Mengkendek Timur” (Skripsi S1, STAKN Toraja, 2019), 11</w:t>
      </w:r>
    </w:p>
  </w:footnote>
  <w:footnote w:id="12">
    <w:p w14:paraId="1B61AC83" w14:textId="77777777" w:rsidR="00EE6B89" w:rsidRPr="005317C5" w:rsidRDefault="00EE6B89" w:rsidP="00EE6B89">
      <w:pPr>
        <w:pStyle w:val="FootnoteText"/>
        <w:ind w:left="284" w:firstLine="436"/>
        <w:jc w:val="both"/>
        <w:rPr>
          <w:rFonts w:ascii="Times New Roman" w:hAnsi="Times New Roman"/>
          <w:lang w:val="sv-SE"/>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Edi Harapan &amp; Syarwani Ahmad, </w:t>
      </w:r>
      <w:r w:rsidRPr="005317C5">
        <w:rPr>
          <w:rFonts w:ascii="Footlight MT Light" w:hAnsi="Footlight MT Light"/>
          <w:i/>
          <w:sz w:val="18"/>
          <w:lang w:val="sv-SE"/>
        </w:rPr>
        <w:t>Komunikasi Antarpribadi</w:t>
      </w:r>
      <w:r w:rsidRPr="005317C5">
        <w:rPr>
          <w:rFonts w:ascii="Footlight MT Light" w:hAnsi="Footlight MT Light"/>
          <w:sz w:val="18"/>
          <w:lang w:val="sv-SE"/>
        </w:rPr>
        <w:t>. (Jakarta: Rajagrafindo Persada, 2016), 3-4</w:t>
      </w:r>
    </w:p>
  </w:footnote>
  <w:footnote w:id="13">
    <w:p w14:paraId="0D23EE5E" w14:textId="77777777" w:rsidR="00EE6B89" w:rsidRPr="006E7D0A" w:rsidRDefault="00EE6B89" w:rsidP="00EE6B89">
      <w:pPr>
        <w:pStyle w:val="FootnoteText"/>
        <w:ind w:firstLine="0"/>
        <w:jc w:val="both"/>
        <w:rPr>
          <w:rFonts w:ascii="Footlight MT Light" w:hAnsi="Footlight MT Light"/>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Avery </w:t>
      </w:r>
      <w:r w:rsidRPr="005317C5">
        <w:rPr>
          <w:rFonts w:ascii="Footlight MT Light" w:hAnsi="Footlight MT Light"/>
          <w:sz w:val="18"/>
          <w:lang w:val="sv-SE"/>
        </w:rPr>
        <w:t xml:space="preserve">Dulles. </w:t>
      </w:r>
      <w:r w:rsidRPr="006E7D0A">
        <w:rPr>
          <w:rFonts w:ascii="Footlight MT Light" w:hAnsi="Footlight MT Light"/>
          <w:sz w:val="18"/>
        </w:rPr>
        <w:t xml:space="preserve">1974. </w:t>
      </w:r>
      <w:r w:rsidRPr="006E7D0A">
        <w:rPr>
          <w:rFonts w:ascii="Footlight MT Light" w:hAnsi="Footlight MT Light"/>
          <w:i/>
          <w:sz w:val="18"/>
        </w:rPr>
        <w:t xml:space="preserve">Models of the Church. </w:t>
      </w:r>
      <w:r w:rsidRPr="006E7D0A">
        <w:rPr>
          <w:rFonts w:ascii="Footlight MT Light" w:hAnsi="Footlight MT Light"/>
          <w:sz w:val="18"/>
        </w:rPr>
        <w:t>(New York: Doubleday), 26-28.</w:t>
      </w:r>
    </w:p>
  </w:footnote>
  <w:footnote w:id="14">
    <w:p w14:paraId="367C3848" w14:textId="77777777" w:rsidR="00EE6B89" w:rsidRPr="005317C5" w:rsidRDefault="00EE6B89" w:rsidP="00EE6B89">
      <w:pPr>
        <w:pStyle w:val="FootnoteText"/>
        <w:ind w:firstLine="0"/>
        <w:jc w:val="both"/>
        <w:rPr>
          <w:rFonts w:ascii="Footlight MT Light" w:hAnsi="Footlight MT Light"/>
          <w:lang w:val="sv-SE"/>
        </w:rPr>
      </w:pPr>
      <w:r w:rsidRPr="006E7D0A">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Ed Stedzer, dalam </w:t>
      </w:r>
      <w:r>
        <w:rPr>
          <w:rFonts w:ascii="Footlight MT Light" w:hAnsi="Footlight MT Light"/>
          <w:sz w:val="18"/>
        </w:rPr>
        <w:fldChar w:fldCharType="begin"/>
      </w:r>
      <w:r w:rsidRPr="005317C5">
        <w:rPr>
          <w:rFonts w:ascii="Footlight MT Light" w:hAnsi="Footlight MT Light"/>
          <w:sz w:val="18"/>
          <w:lang w:val="sv-SE"/>
        </w:rPr>
        <w:instrText xml:space="preserve"> HYPERLINK "https://www.christianitytoday.com/edstetzer/2014/ways-technology-enables-mission-of-church.html" </w:instrText>
      </w:r>
      <w:r>
        <w:rPr>
          <w:rFonts w:ascii="Footlight MT Light" w:hAnsi="Footlight MT Light"/>
          <w:sz w:val="18"/>
        </w:rPr>
        <w:fldChar w:fldCharType="separate"/>
      </w:r>
      <w:r w:rsidRPr="005317C5">
        <w:rPr>
          <w:rStyle w:val="Hyperlink"/>
          <w:rFonts w:ascii="Footlight MT Light" w:hAnsi="Footlight MT Light"/>
          <w:sz w:val="18"/>
          <w:lang w:val="sv-SE"/>
        </w:rPr>
        <w:t>https://www.christianitytoday.com/edstetzer/2014/ways-technology-enables-mission-of-church.html</w:t>
      </w:r>
      <w:r>
        <w:rPr>
          <w:rFonts w:ascii="Footlight MT Light" w:hAnsi="Footlight MT Light"/>
          <w:sz w:val="18"/>
        </w:rPr>
        <w:fldChar w:fldCharType="end"/>
      </w:r>
      <w:r w:rsidRPr="005317C5">
        <w:rPr>
          <w:rFonts w:ascii="Footlight MT Light" w:hAnsi="Footlight MT Light"/>
          <w:sz w:val="18"/>
          <w:lang w:val="sv-SE"/>
        </w:rPr>
        <w:t xml:space="preserve"> </w:t>
      </w:r>
    </w:p>
  </w:footnote>
  <w:footnote w:id="15">
    <w:p w14:paraId="5687FB78" w14:textId="77777777" w:rsidR="00EE6B89" w:rsidRPr="005317C5" w:rsidRDefault="00EE6B89" w:rsidP="00EE6B89">
      <w:pPr>
        <w:pStyle w:val="FootnoteText"/>
        <w:ind w:firstLine="323"/>
        <w:jc w:val="both"/>
        <w:rPr>
          <w:rFonts w:ascii="Footlight MT Light" w:hAnsi="Footlight MT Light"/>
          <w:lang w:val="sv-SE"/>
        </w:rPr>
      </w:pPr>
      <w:r w:rsidRPr="005145CD">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Priscillia </w:t>
      </w:r>
      <w:r w:rsidRPr="005317C5">
        <w:rPr>
          <w:rFonts w:ascii="Footlight MT Light" w:hAnsi="Footlight MT Light"/>
          <w:sz w:val="18"/>
          <w:lang w:val="sv-SE"/>
        </w:rPr>
        <w:t xml:space="preserve">Diane Joy Joseph dan Fredik Melkias Boiliu, “Peran Pendidikan Agama Kristen dalam Penggunaan Teknologi pada Anak,” </w:t>
      </w:r>
      <w:r w:rsidRPr="005317C5">
        <w:rPr>
          <w:rFonts w:ascii="Footlight MT Light" w:hAnsi="Footlight MT Light"/>
          <w:i/>
          <w:sz w:val="18"/>
          <w:lang w:val="sv-SE"/>
        </w:rPr>
        <w:t>Edukatif: Jurnal Ilmu Pendidikan</w:t>
      </w:r>
      <w:r w:rsidRPr="005317C5">
        <w:rPr>
          <w:rFonts w:ascii="Footlight MT Light" w:hAnsi="Footlight MT Light"/>
          <w:sz w:val="18"/>
          <w:lang w:val="sv-SE"/>
        </w:rPr>
        <w:t>, 3, no.4 (2021): 2037</w:t>
      </w:r>
    </w:p>
  </w:footnote>
  <w:footnote w:id="16">
    <w:p w14:paraId="39C71837" w14:textId="77777777" w:rsidR="00EE6B89" w:rsidRPr="005317C5" w:rsidRDefault="00EE6B89" w:rsidP="00EE6B89">
      <w:pPr>
        <w:pStyle w:val="FootnoteText"/>
        <w:ind w:firstLine="323"/>
        <w:jc w:val="both"/>
        <w:rPr>
          <w:rFonts w:ascii="Footlight MT Light" w:hAnsi="Footlight MT Light"/>
          <w:lang w:val="sv-SE"/>
        </w:rPr>
      </w:pPr>
      <w:r w:rsidRPr="00C43F73">
        <w:rPr>
          <w:rStyle w:val="FootnoteReference"/>
          <w:rFonts w:ascii="Footlight MT Light" w:hAnsi="Footlight MT Light"/>
          <w:sz w:val="18"/>
        </w:rPr>
        <w:footnoteRef/>
      </w:r>
      <w:r w:rsidRPr="005317C5">
        <w:rPr>
          <w:rFonts w:ascii="Footlight MT Light" w:hAnsi="Footlight MT Light"/>
          <w:sz w:val="18"/>
          <w:lang w:val="sv-SE"/>
        </w:rPr>
        <w:t xml:space="preserve"> </w:t>
      </w:r>
      <w:r w:rsidRPr="005317C5">
        <w:rPr>
          <w:rFonts w:ascii="Footlight MT Light" w:hAnsi="Footlight MT Light"/>
          <w:sz w:val="18"/>
          <w:lang w:val="sv-SE"/>
        </w:rPr>
        <w:t xml:space="preserve">Samuelina </w:t>
      </w:r>
      <w:r w:rsidRPr="005317C5">
        <w:rPr>
          <w:rFonts w:ascii="Footlight MT Light" w:hAnsi="Footlight MT Light"/>
          <w:sz w:val="18"/>
          <w:lang w:val="sv-SE"/>
        </w:rPr>
        <w:t xml:space="preserve">Situmorang, “Eksistensi Penggunaan Alkitab Manual di Tengah Perkembangan Iptek Dikalangan Umat Kristen Gereja Sabda Bayu Singaraja,” </w:t>
      </w:r>
      <w:r w:rsidRPr="005317C5">
        <w:rPr>
          <w:rFonts w:ascii="Footlight MT Light" w:hAnsi="Footlight MT Light"/>
          <w:i/>
          <w:sz w:val="18"/>
          <w:lang w:val="sv-SE"/>
        </w:rPr>
        <w:t>Media Komunikasi FPIPS</w:t>
      </w:r>
      <w:r w:rsidRPr="005317C5">
        <w:rPr>
          <w:rFonts w:ascii="Footlight MT Light" w:hAnsi="Footlight MT Light"/>
          <w:sz w:val="18"/>
          <w:lang w:val="sv-SE"/>
        </w:rPr>
        <w:t>, 15, no. 2 (2016): 2.</w:t>
      </w:r>
    </w:p>
  </w:footnote>
  <w:footnote w:id="17">
    <w:p w14:paraId="25F8C5DB" w14:textId="77777777" w:rsidR="00EE6B89" w:rsidRPr="005317C5" w:rsidRDefault="00EE6B89" w:rsidP="00EE6B89">
      <w:pPr>
        <w:pStyle w:val="FootnoteText"/>
        <w:ind w:left="113" w:firstLine="607"/>
        <w:jc w:val="both"/>
        <w:rPr>
          <w:rFonts w:ascii="Times New Roman" w:hAnsi="Times New Roman"/>
          <w:lang w:val="sv-SE"/>
        </w:rPr>
      </w:pPr>
      <w:r w:rsidRPr="005E035E">
        <w:rPr>
          <w:rStyle w:val="FootnoteReference"/>
          <w:rFonts w:ascii="Times New Roman" w:hAnsi="Times New Roman"/>
          <w:sz w:val="18"/>
        </w:rPr>
        <w:footnoteRef/>
      </w:r>
      <w:r w:rsidRPr="005317C5">
        <w:rPr>
          <w:rFonts w:ascii="Times New Roman" w:hAnsi="Times New Roman"/>
          <w:sz w:val="18"/>
          <w:lang w:val="sv-SE"/>
        </w:rPr>
        <w:t xml:space="preserve"> </w:t>
      </w:r>
      <w:r w:rsidRPr="005317C5">
        <w:rPr>
          <w:rFonts w:ascii="Times New Roman" w:hAnsi="Times New Roman"/>
          <w:sz w:val="18"/>
          <w:lang w:val="sv-SE"/>
        </w:rPr>
        <w:t xml:space="preserve">Bradley </w:t>
      </w:r>
      <w:r w:rsidRPr="005317C5">
        <w:rPr>
          <w:rFonts w:ascii="Times New Roman" w:hAnsi="Times New Roman"/>
          <w:sz w:val="18"/>
          <w:lang w:val="sv-SE"/>
        </w:rPr>
        <w:t xml:space="preserve">T. Erford, </w:t>
      </w:r>
      <w:r w:rsidRPr="005317C5">
        <w:rPr>
          <w:rFonts w:ascii="Times New Roman" w:hAnsi="Times New Roman"/>
          <w:i/>
          <w:sz w:val="18"/>
          <w:lang w:val="sv-SE"/>
        </w:rPr>
        <w:t>40 Teknik yang Harus Diketahui Setiap Konselor</w:t>
      </w:r>
      <w:r w:rsidRPr="005317C5">
        <w:rPr>
          <w:rFonts w:ascii="Times New Roman" w:hAnsi="Times New Roman"/>
          <w:sz w:val="18"/>
          <w:lang w:val="sv-SE"/>
        </w:rPr>
        <w:t>, (Yogyakarta: Pustaka Belajar, 2016), 395</w:t>
      </w:r>
    </w:p>
  </w:footnote>
  <w:footnote w:id="18">
    <w:p w14:paraId="53CB2E29" w14:textId="77777777" w:rsidR="00EE6B89" w:rsidRPr="00FE1408" w:rsidRDefault="00EE6B89" w:rsidP="00EE6B89">
      <w:pPr>
        <w:pStyle w:val="FootnoteText"/>
        <w:ind w:left="113" w:firstLine="607"/>
        <w:jc w:val="both"/>
        <w:rPr>
          <w:rFonts w:ascii="Palatino Linotype" w:hAnsi="Palatino Linotype"/>
        </w:rPr>
      </w:pPr>
      <w:r w:rsidRPr="005E035E">
        <w:rPr>
          <w:rStyle w:val="FootnoteReference"/>
          <w:rFonts w:ascii="Times New Roman" w:hAnsi="Times New Roman"/>
          <w:sz w:val="18"/>
        </w:rPr>
        <w:footnoteRef/>
      </w:r>
      <w:r w:rsidRPr="005E035E">
        <w:rPr>
          <w:rFonts w:ascii="Times New Roman" w:hAnsi="Times New Roman"/>
          <w:sz w:val="18"/>
        </w:rPr>
        <w:t xml:space="preserve"> Elizabeth Prima &amp; Putu Indah Lestari, “The Improvement of The Discipline for Early Childhood </w:t>
      </w:r>
      <w:proofErr w:type="spellStart"/>
      <w:r w:rsidRPr="005E035E">
        <w:rPr>
          <w:rFonts w:ascii="Times New Roman" w:hAnsi="Times New Roman"/>
          <w:sz w:val="18"/>
        </w:rPr>
        <w:t>Trhough</w:t>
      </w:r>
      <w:proofErr w:type="spellEnd"/>
      <w:r w:rsidRPr="005E035E">
        <w:rPr>
          <w:rFonts w:ascii="Times New Roman" w:hAnsi="Times New Roman"/>
          <w:sz w:val="18"/>
        </w:rPr>
        <w:t xml:space="preserve"> Token Economy Technique”, </w:t>
      </w:r>
      <w:proofErr w:type="spellStart"/>
      <w:r w:rsidRPr="005E035E">
        <w:rPr>
          <w:rFonts w:ascii="Times New Roman" w:hAnsi="Times New Roman"/>
          <w:i/>
          <w:sz w:val="18"/>
        </w:rPr>
        <w:t>Obsesi</w:t>
      </w:r>
      <w:proofErr w:type="spellEnd"/>
      <w:r w:rsidRPr="005E035E">
        <w:rPr>
          <w:rFonts w:ascii="Times New Roman" w:hAnsi="Times New Roman"/>
          <w:i/>
          <w:sz w:val="18"/>
        </w:rPr>
        <w:t xml:space="preserve">: Jurnal Pendidikan Anak </w:t>
      </w:r>
      <w:proofErr w:type="spellStart"/>
      <w:r w:rsidRPr="005E035E">
        <w:rPr>
          <w:rFonts w:ascii="Times New Roman" w:hAnsi="Times New Roman"/>
          <w:i/>
          <w:sz w:val="18"/>
        </w:rPr>
        <w:t>Usia</w:t>
      </w:r>
      <w:proofErr w:type="spellEnd"/>
      <w:r w:rsidRPr="005E035E">
        <w:rPr>
          <w:rFonts w:ascii="Times New Roman" w:hAnsi="Times New Roman"/>
          <w:i/>
          <w:sz w:val="18"/>
        </w:rPr>
        <w:t xml:space="preserve"> Dini, 2</w:t>
      </w:r>
      <w:r w:rsidRPr="005E035E">
        <w:rPr>
          <w:rFonts w:ascii="Times New Roman" w:hAnsi="Times New Roman"/>
          <w:sz w:val="18"/>
        </w:rPr>
        <w:t>, no. 2 (2018), 2</w:t>
      </w:r>
    </w:p>
  </w:footnote>
  <w:footnote w:id="19">
    <w:p w14:paraId="34B6BF4D" w14:textId="77777777" w:rsidR="00EE6B89" w:rsidRPr="00724BD0" w:rsidRDefault="00EE6B89" w:rsidP="00EE6B89">
      <w:pPr>
        <w:pStyle w:val="FootnoteText"/>
        <w:ind w:firstLine="312"/>
        <w:jc w:val="both"/>
        <w:rPr>
          <w:rFonts w:ascii="Palatino Linotype" w:hAnsi="Palatino Linotype"/>
        </w:rPr>
      </w:pPr>
      <w:r w:rsidRPr="00724BD0">
        <w:rPr>
          <w:rStyle w:val="FootnoteReference"/>
          <w:rFonts w:ascii="Palatino Linotype" w:hAnsi="Palatino Linotype"/>
          <w:sz w:val="18"/>
        </w:rPr>
        <w:footnoteRef/>
      </w:r>
      <w:r w:rsidRPr="00724BD0">
        <w:rPr>
          <w:rFonts w:ascii="Palatino Linotype" w:hAnsi="Palatino Linotype"/>
          <w:sz w:val="18"/>
        </w:rPr>
        <w:t xml:space="preserve"> </w:t>
      </w:r>
      <w:proofErr w:type="spellStart"/>
      <w:r w:rsidRPr="00724BD0">
        <w:rPr>
          <w:rFonts w:ascii="Palatino Linotype" w:hAnsi="Palatino Linotype"/>
          <w:sz w:val="18"/>
        </w:rPr>
        <w:t>Totok</w:t>
      </w:r>
      <w:proofErr w:type="spellEnd"/>
      <w:r w:rsidRPr="00724BD0">
        <w:rPr>
          <w:rFonts w:ascii="Palatino Linotype" w:hAnsi="Palatino Linotype"/>
          <w:sz w:val="18"/>
        </w:rPr>
        <w:t xml:space="preserve"> S, </w:t>
      </w:r>
      <w:proofErr w:type="spellStart"/>
      <w:r w:rsidRPr="00724BD0">
        <w:rPr>
          <w:rFonts w:ascii="Palatino Linotype" w:hAnsi="Palatino Linotype"/>
          <w:sz w:val="18"/>
        </w:rPr>
        <w:t>Wiryasaputra</w:t>
      </w:r>
      <w:proofErr w:type="spellEnd"/>
      <w:r w:rsidRPr="00724BD0">
        <w:rPr>
          <w:rFonts w:ascii="Palatino Linotype" w:hAnsi="Palatino Linotype"/>
          <w:sz w:val="18"/>
        </w:rPr>
        <w:t xml:space="preserve">, </w:t>
      </w:r>
      <w:r w:rsidRPr="005640BE">
        <w:rPr>
          <w:rFonts w:ascii="Palatino Linotype" w:hAnsi="Palatino Linotype"/>
          <w:i/>
          <w:sz w:val="18"/>
        </w:rPr>
        <w:t xml:space="preserve">Konseling Pastoral Di era </w:t>
      </w:r>
      <w:proofErr w:type="spellStart"/>
      <w:r w:rsidRPr="005640BE">
        <w:rPr>
          <w:rFonts w:ascii="Palatino Linotype" w:hAnsi="Palatino Linotype"/>
          <w:i/>
          <w:sz w:val="18"/>
        </w:rPr>
        <w:t>Milenial</w:t>
      </w:r>
      <w:proofErr w:type="spellEnd"/>
      <w:r w:rsidRPr="00724BD0">
        <w:rPr>
          <w:rFonts w:ascii="Palatino Linotype" w:hAnsi="Palatino Linotype"/>
          <w:sz w:val="18"/>
        </w:rPr>
        <w:t xml:space="preserve"> (Yogyakarta: AKPI, 2019)</w:t>
      </w:r>
      <w:r>
        <w:rPr>
          <w:rFonts w:ascii="Palatino Linotype" w:hAnsi="Palatino Linotype"/>
          <w:sz w:val="18"/>
        </w:rPr>
        <w:t>, 194</w:t>
      </w:r>
    </w:p>
  </w:footnote>
  <w:footnote w:id="20">
    <w:p w14:paraId="61D5AFBB" w14:textId="77777777" w:rsidR="00EE6B89" w:rsidRPr="005E035E" w:rsidRDefault="00EE6B89" w:rsidP="00EE6B89">
      <w:pPr>
        <w:pStyle w:val="FootnoteText"/>
        <w:ind w:firstLine="323"/>
        <w:jc w:val="both"/>
        <w:rPr>
          <w:rFonts w:ascii="Times New Roman" w:hAnsi="Times New Roman"/>
        </w:rPr>
      </w:pPr>
      <w:r w:rsidRPr="005E035E">
        <w:rPr>
          <w:rStyle w:val="FootnoteReference"/>
          <w:rFonts w:ascii="Times New Roman" w:hAnsi="Times New Roman"/>
          <w:sz w:val="18"/>
        </w:rPr>
        <w:footnoteRef/>
      </w:r>
      <w:r w:rsidRPr="005E035E">
        <w:rPr>
          <w:rFonts w:ascii="Times New Roman" w:hAnsi="Times New Roman"/>
          <w:sz w:val="18"/>
        </w:rPr>
        <w:t xml:space="preserve"> Edi </w:t>
      </w:r>
      <w:proofErr w:type="spellStart"/>
      <w:r w:rsidRPr="005E035E">
        <w:rPr>
          <w:rFonts w:ascii="Times New Roman" w:hAnsi="Times New Roman"/>
          <w:sz w:val="18"/>
        </w:rPr>
        <w:t>Purwanta</w:t>
      </w:r>
      <w:proofErr w:type="spellEnd"/>
      <w:r w:rsidRPr="005E035E">
        <w:rPr>
          <w:rFonts w:ascii="Times New Roman" w:hAnsi="Times New Roman"/>
          <w:sz w:val="18"/>
        </w:rPr>
        <w:t xml:space="preserve">, </w:t>
      </w:r>
      <w:proofErr w:type="spellStart"/>
      <w:r w:rsidRPr="005E035E">
        <w:rPr>
          <w:rFonts w:ascii="Times New Roman" w:hAnsi="Times New Roman"/>
          <w:i/>
          <w:sz w:val="18"/>
        </w:rPr>
        <w:t>Modifikasi</w:t>
      </w:r>
      <w:proofErr w:type="spellEnd"/>
      <w:r w:rsidRPr="005E035E">
        <w:rPr>
          <w:rFonts w:ascii="Times New Roman" w:hAnsi="Times New Roman"/>
          <w:i/>
          <w:sz w:val="18"/>
        </w:rPr>
        <w:t xml:space="preserve"> </w:t>
      </w:r>
      <w:proofErr w:type="spellStart"/>
      <w:r w:rsidRPr="005E035E">
        <w:rPr>
          <w:rFonts w:ascii="Times New Roman" w:hAnsi="Times New Roman"/>
          <w:i/>
          <w:sz w:val="18"/>
        </w:rPr>
        <w:t>Perilaku</w:t>
      </w:r>
      <w:proofErr w:type="spellEnd"/>
      <w:r w:rsidRPr="005E035E">
        <w:rPr>
          <w:rFonts w:ascii="Times New Roman" w:hAnsi="Times New Roman"/>
          <w:sz w:val="18"/>
        </w:rPr>
        <w:t xml:space="preserve">, (Yogyakarta: Pustaka </w:t>
      </w:r>
      <w:proofErr w:type="spellStart"/>
      <w:r w:rsidRPr="005E035E">
        <w:rPr>
          <w:rFonts w:ascii="Times New Roman" w:hAnsi="Times New Roman"/>
          <w:sz w:val="18"/>
        </w:rPr>
        <w:t>Pelajar</w:t>
      </w:r>
      <w:proofErr w:type="spellEnd"/>
      <w:r w:rsidRPr="005E035E">
        <w:rPr>
          <w:rFonts w:ascii="Times New Roman" w:hAnsi="Times New Roman"/>
          <w:sz w:val="18"/>
        </w:rPr>
        <w:t>, 2005), 17</w:t>
      </w:r>
    </w:p>
  </w:footnote>
  <w:footnote w:id="21">
    <w:p w14:paraId="5DC39311" w14:textId="77777777" w:rsidR="00EE6B89" w:rsidRPr="00606AF7" w:rsidRDefault="00EE6B89" w:rsidP="00EE6B89">
      <w:pPr>
        <w:pStyle w:val="FootnoteText"/>
        <w:ind w:left="113" w:firstLine="607"/>
        <w:jc w:val="both"/>
        <w:rPr>
          <w:rFonts w:ascii="Palatino Linotype" w:hAnsi="Palatino Linotype"/>
        </w:rPr>
      </w:pPr>
      <w:r w:rsidRPr="005E035E">
        <w:rPr>
          <w:rStyle w:val="FootnoteReference"/>
          <w:rFonts w:ascii="Times New Roman" w:hAnsi="Times New Roman"/>
          <w:sz w:val="18"/>
        </w:rPr>
        <w:footnoteRef/>
      </w:r>
      <w:r w:rsidRPr="005E035E">
        <w:rPr>
          <w:rFonts w:ascii="Times New Roman" w:hAnsi="Times New Roman"/>
          <w:sz w:val="18"/>
        </w:rPr>
        <w:t xml:space="preserve"> Grace Latuheru &amp; </w:t>
      </w:r>
      <w:proofErr w:type="spellStart"/>
      <w:r w:rsidRPr="005E035E">
        <w:rPr>
          <w:rFonts w:ascii="Times New Roman" w:hAnsi="Times New Roman"/>
          <w:sz w:val="18"/>
        </w:rPr>
        <w:t>Tatik</w:t>
      </w:r>
      <w:proofErr w:type="spellEnd"/>
      <w:r w:rsidRPr="005E035E">
        <w:rPr>
          <w:rFonts w:ascii="Times New Roman" w:hAnsi="Times New Roman"/>
          <w:sz w:val="18"/>
        </w:rPr>
        <w:t xml:space="preserve"> </w:t>
      </w:r>
      <w:proofErr w:type="spellStart"/>
      <w:r w:rsidRPr="005E035E">
        <w:rPr>
          <w:rFonts w:ascii="Times New Roman" w:hAnsi="Times New Roman"/>
          <w:sz w:val="18"/>
        </w:rPr>
        <w:t>Meiyutariningsi</w:t>
      </w:r>
      <w:proofErr w:type="spellEnd"/>
      <w:r w:rsidRPr="005E035E">
        <w:rPr>
          <w:rFonts w:ascii="Times New Roman" w:hAnsi="Times New Roman"/>
          <w:sz w:val="18"/>
        </w:rPr>
        <w:t xml:space="preserve">, “Application of Economy to Reduce Gadget Addiction to Children”, </w:t>
      </w:r>
      <w:r w:rsidRPr="005E035E">
        <w:rPr>
          <w:rFonts w:ascii="Times New Roman" w:hAnsi="Times New Roman"/>
          <w:i/>
          <w:sz w:val="18"/>
        </w:rPr>
        <w:t>UMSIDA:</w:t>
      </w:r>
      <w:r w:rsidRPr="005E035E">
        <w:rPr>
          <w:rFonts w:ascii="Times New Roman" w:hAnsi="Times New Roman"/>
          <w:sz w:val="18"/>
        </w:rPr>
        <w:t xml:space="preserve"> </w:t>
      </w:r>
      <w:r w:rsidRPr="005E035E">
        <w:rPr>
          <w:rFonts w:ascii="Times New Roman" w:hAnsi="Times New Roman"/>
          <w:i/>
          <w:sz w:val="18"/>
        </w:rPr>
        <w:t xml:space="preserve">Proceedings of </w:t>
      </w:r>
      <w:proofErr w:type="gramStart"/>
      <w:r w:rsidRPr="005E035E">
        <w:rPr>
          <w:rFonts w:ascii="Times New Roman" w:hAnsi="Times New Roman"/>
          <w:i/>
          <w:sz w:val="18"/>
        </w:rPr>
        <w:t>The</w:t>
      </w:r>
      <w:proofErr w:type="gramEnd"/>
      <w:r w:rsidRPr="005E035E">
        <w:rPr>
          <w:rFonts w:ascii="Times New Roman" w:hAnsi="Times New Roman"/>
          <w:i/>
          <w:sz w:val="18"/>
        </w:rPr>
        <w:t xml:space="preserve"> ICERS, 8</w:t>
      </w:r>
      <w:r w:rsidRPr="005E035E">
        <w:rPr>
          <w:rFonts w:ascii="Times New Roman" w:hAnsi="Times New Roman"/>
          <w:sz w:val="18"/>
        </w:rPr>
        <w:t>, (2020), 37</w:t>
      </w:r>
    </w:p>
  </w:footnote>
  <w:footnote w:id="22">
    <w:p w14:paraId="32EDCFDD" w14:textId="77777777" w:rsidR="00EE6B89" w:rsidRPr="005317C5" w:rsidRDefault="00EE6B89" w:rsidP="00EE6B89">
      <w:pPr>
        <w:pStyle w:val="FootnoteText"/>
        <w:ind w:firstLine="323"/>
        <w:jc w:val="both"/>
        <w:rPr>
          <w:rFonts w:ascii="Times New Roman" w:hAnsi="Times New Roman"/>
          <w:lang w:val="sv-SE"/>
        </w:rPr>
      </w:pPr>
      <w:r w:rsidRPr="005E035E">
        <w:rPr>
          <w:rStyle w:val="FootnoteReference"/>
          <w:rFonts w:ascii="Times New Roman" w:hAnsi="Times New Roman"/>
          <w:sz w:val="18"/>
        </w:rPr>
        <w:footnoteRef/>
      </w:r>
      <w:r w:rsidRPr="005317C5">
        <w:rPr>
          <w:rFonts w:ascii="Times New Roman" w:hAnsi="Times New Roman"/>
          <w:sz w:val="18"/>
          <w:lang w:val="sv-SE"/>
        </w:rPr>
        <w:t xml:space="preserve"> </w:t>
      </w:r>
      <w:r w:rsidRPr="005317C5">
        <w:rPr>
          <w:rFonts w:ascii="Times New Roman" w:hAnsi="Times New Roman"/>
          <w:sz w:val="18"/>
          <w:lang w:val="sv-SE"/>
        </w:rPr>
        <w:t xml:space="preserve">Totok S. Wiryasaputra, </w:t>
      </w:r>
      <w:r w:rsidRPr="005317C5">
        <w:rPr>
          <w:rFonts w:ascii="Times New Roman" w:hAnsi="Times New Roman"/>
          <w:i/>
          <w:sz w:val="18"/>
          <w:lang w:val="sv-SE"/>
        </w:rPr>
        <w:t>Konseling Pastoral di Era Milenial</w:t>
      </w:r>
      <w:r w:rsidRPr="005317C5">
        <w:rPr>
          <w:rFonts w:ascii="Times New Roman" w:hAnsi="Times New Roman"/>
          <w:sz w:val="18"/>
          <w:lang w:val="sv-SE"/>
        </w:rPr>
        <w:t>, (Yogyakarta: AKPI, 2019), 194</w:t>
      </w:r>
    </w:p>
  </w:footnote>
  <w:footnote w:id="23">
    <w:p w14:paraId="684C1F35" w14:textId="77777777" w:rsidR="00EE6B89" w:rsidRPr="005317C5" w:rsidRDefault="00EE6B89" w:rsidP="00EE6B89">
      <w:pPr>
        <w:pStyle w:val="FootnoteText"/>
        <w:ind w:left="113" w:firstLine="607"/>
        <w:jc w:val="both"/>
        <w:rPr>
          <w:lang w:val="sv-SE"/>
        </w:rPr>
      </w:pPr>
      <w:r w:rsidRPr="005E035E">
        <w:rPr>
          <w:rStyle w:val="FootnoteReference"/>
          <w:rFonts w:ascii="Times New Roman" w:hAnsi="Times New Roman"/>
          <w:sz w:val="18"/>
        </w:rPr>
        <w:footnoteRef/>
      </w:r>
      <w:r w:rsidRPr="005317C5">
        <w:rPr>
          <w:rFonts w:ascii="Times New Roman" w:hAnsi="Times New Roman"/>
          <w:lang w:val="sv-SE"/>
        </w:rPr>
        <w:t xml:space="preserve"> </w:t>
      </w:r>
      <w:r w:rsidRPr="005317C5">
        <w:rPr>
          <w:rFonts w:ascii="Times New Roman" w:hAnsi="Times New Roman"/>
          <w:sz w:val="18"/>
          <w:lang w:val="sv-SE"/>
        </w:rPr>
        <w:t xml:space="preserve">Bradley T. Erford, </w:t>
      </w:r>
      <w:r w:rsidRPr="005317C5">
        <w:rPr>
          <w:rFonts w:ascii="Times New Roman" w:hAnsi="Times New Roman"/>
          <w:i/>
          <w:sz w:val="18"/>
          <w:lang w:val="sv-SE"/>
        </w:rPr>
        <w:t>40 Teknik yang Harus Diketahui Setiap Konselor</w:t>
      </w:r>
      <w:r w:rsidRPr="005317C5">
        <w:rPr>
          <w:rFonts w:ascii="Times New Roman" w:hAnsi="Times New Roman"/>
          <w:sz w:val="18"/>
          <w:lang w:val="sv-SE"/>
        </w:rPr>
        <w:t>, (Yogyakarta: Pustaka Belajar, 2016), 395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F17F3"/>
    <w:multiLevelType w:val="hybridMultilevel"/>
    <w:tmpl w:val="7D92C6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56673C0"/>
    <w:multiLevelType w:val="hybridMultilevel"/>
    <w:tmpl w:val="C73002AC"/>
    <w:lvl w:ilvl="0" w:tplc="116E24D0">
      <w:start w:val="1"/>
      <w:numFmt w:val="upperLetter"/>
      <w:lvlText w:val="%1."/>
      <w:lvlJc w:val="center"/>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6C2619"/>
    <w:multiLevelType w:val="hybridMultilevel"/>
    <w:tmpl w:val="9F1C792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50F51005"/>
    <w:multiLevelType w:val="hybridMultilevel"/>
    <w:tmpl w:val="8B34DFBC"/>
    <w:lvl w:ilvl="0" w:tplc="04090011">
      <w:start w:val="1"/>
      <w:numFmt w:val="decimal"/>
      <w:lvlText w:val="%1)"/>
      <w:lvlJc w:val="left"/>
      <w:pPr>
        <w:ind w:left="2803" w:hanging="360"/>
      </w:pPr>
    </w:lvl>
    <w:lvl w:ilvl="1" w:tplc="04090019" w:tentative="1">
      <w:start w:val="1"/>
      <w:numFmt w:val="lowerLetter"/>
      <w:lvlText w:val="%2."/>
      <w:lvlJc w:val="left"/>
      <w:pPr>
        <w:ind w:left="3523" w:hanging="360"/>
      </w:pPr>
    </w:lvl>
    <w:lvl w:ilvl="2" w:tplc="0409001B" w:tentative="1">
      <w:start w:val="1"/>
      <w:numFmt w:val="lowerRoman"/>
      <w:lvlText w:val="%3."/>
      <w:lvlJc w:val="right"/>
      <w:pPr>
        <w:ind w:left="4243" w:hanging="180"/>
      </w:pPr>
    </w:lvl>
    <w:lvl w:ilvl="3" w:tplc="0409000F" w:tentative="1">
      <w:start w:val="1"/>
      <w:numFmt w:val="decimal"/>
      <w:lvlText w:val="%4."/>
      <w:lvlJc w:val="left"/>
      <w:pPr>
        <w:ind w:left="4963" w:hanging="360"/>
      </w:pPr>
    </w:lvl>
    <w:lvl w:ilvl="4" w:tplc="04090019" w:tentative="1">
      <w:start w:val="1"/>
      <w:numFmt w:val="lowerLetter"/>
      <w:lvlText w:val="%5."/>
      <w:lvlJc w:val="left"/>
      <w:pPr>
        <w:ind w:left="5683" w:hanging="360"/>
      </w:pPr>
    </w:lvl>
    <w:lvl w:ilvl="5" w:tplc="0409001B" w:tentative="1">
      <w:start w:val="1"/>
      <w:numFmt w:val="lowerRoman"/>
      <w:lvlText w:val="%6."/>
      <w:lvlJc w:val="right"/>
      <w:pPr>
        <w:ind w:left="6403" w:hanging="180"/>
      </w:pPr>
    </w:lvl>
    <w:lvl w:ilvl="6" w:tplc="0409000F" w:tentative="1">
      <w:start w:val="1"/>
      <w:numFmt w:val="decimal"/>
      <w:lvlText w:val="%7."/>
      <w:lvlJc w:val="left"/>
      <w:pPr>
        <w:ind w:left="7123" w:hanging="360"/>
      </w:pPr>
    </w:lvl>
    <w:lvl w:ilvl="7" w:tplc="04090019" w:tentative="1">
      <w:start w:val="1"/>
      <w:numFmt w:val="lowerLetter"/>
      <w:lvlText w:val="%8."/>
      <w:lvlJc w:val="left"/>
      <w:pPr>
        <w:ind w:left="7843" w:hanging="360"/>
      </w:pPr>
    </w:lvl>
    <w:lvl w:ilvl="8" w:tplc="0409001B" w:tentative="1">
      <w:start w:val="1"/>
      <w:numFmt w:val="lowerRoman"/>
      <w:lvlText w:val="%9."/>
      <w:lvlJc w:val="right"/>
      <w:pPr>
        <w:ind w:left="8563" w:hanging="180"/>
      </w:pPr>
    </w:lvl>
  </w:abstractNum>
  <w:abstractNum w:abstractNumId="4" w15:restartNumberingAfterBreak="0">
    <w:nsid w:val="5C5C7655"/>
    <w:multiLevelType w:val="hybridMultilevel"/>
    <w:tmpl w:val="8CCC01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F817E3"/>
    <w:multiLevelType w:val="hybridMultilevel"/>
    <w:tmpl w:val="456CB310"/>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16cid:durableId="1491943175">
    <w:abstractNumId w:val="1"/>
  </w:num>
  <w:num w:numId="2" w16cid:durableId="1133867227">
    <w:abstractNumId w:val="0"/>
  </w:num>
  <w:num w:numId="3" w16cid:durableId="806702167">
    <w:abstractNumId w:val="4"/>
  </w:num>
  <w:num w:numId="4" w16cid:durableId="701591084">
    <w:abstractNumId w:val="3"/>
  </w:num>
  <w:num w:numId="5" w16cid:durableId="859704776">
    <w:abstractNumId w:val="5"/>
  </w:num>
  <w:num w:numId="6" w16cid:durableId="490800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96B"/>
    <w:rsid w:val="002539FE"/>
    <w:rsid w:val="002A3766"/>
    <w:rsid w:val="00575BAC"/>
    <w:rsid w:val="006314E1"/>
    <w:rsid w:val="00656E81"/>
    <w:rsid w:val="00756876"/>
    <w:rsid w:val="00CB5F7E"/>
    <w:rsid w:val="00E4296B"/>
    <w:rsid w:val="00EE6B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7F65"/>
  <w15:docId w15:val="{A91F25DE-5914-4B80-99A3-0F571AF7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CDC"/>
  </w:style>
  <w:style w:type="paragraph" w:styleId="Heading1">
    <w:name w:val="heading 1"/>
    <w:basedOn w:val="Normal"/>
    <w:next w:val="Normal"/>
    <w:link w:val="Heading1Char"/>
    <w:uiPriority w:val="9"/>
    <w:qFormat/>
    <w:rsid w:val="0048798D"/>
    <w:pPr>
      <w:keepNext/>
      <w:keepLines/>
      <w:spacing w:before="240" w:after="0" w:line="240" w:lineRule="auto"/>
      <w:jc w:val="both"/>
      <w:outlineLvl w:val="0"/>
    </w:pPr>
    <w:rPr>
      <w:rFonts w:ascii="Bookman Old Style" w:eastAsiaTheme="majorEastAsia" w:hAnsi="Bookman Old Style" w:cstheme="majorBidi"/>
      <w:b/>
      <w:szCs w:val="40"/>
    </w:rPr>
  </w:style>
  <w:style w:type="paragraph" w:styleId="Heading2">
    <w:name w:val="heading 2"/>
    <w:basedOn w:val="Normal"/>
    <w:next w:val="Normal"/>
    <w:link w:val="Heading2Char"/>
    <w:uiPriority w:val="9"/>
    <w:unhideWhenUsed/>
    <w:qFormat/>
    <w:rsid w:val="00350B71"/>
    <w:pPr>
      <w:keepNext/>
      <w:keepLines/>
      <w:spacing w:before="240" w:after="0" w:line="240" w:lineRule="auto"/>
      <w:outlineLvl w:val="1"/>
    </w:pPr>
    <w:rPr>
      <w:rFonts w:ascii="Bookman Old Style" w:eastAsiaTheme="majorEastAsia" w:hAnsi="Bookman Old Style" w:cstheme="majorBidi"/>
      <w:b/>
      <w:i/>
      <w:szCs w:val="32"/>
    </w:rPr>
  </w:style>
  <w:style w:type="paragraph" w:styleId="Heading3">
    <w:name w:val="heading 3"/>
    <w:basedOn w:val="Normal"/>
    <w:next w:val="Normal"/>
    <w:link w:val="Heading3Char"/>
    <w:uiPriority w:val="9"/>
    <w:semiHidden/>
    <w:unhideWhenUsed/>
    <w:qFormat/>
    <w:rsid w:val="00C15CD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5CD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5CD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5CD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5CD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5CD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5CD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15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8798D"/>
    <w:rPr>
      <w:rFonts w:ascii="Bookman Old Style" w:eastAsiaTheme="majorEastAsia" w:hAnsi="Bookman Old Style" w:cstheme="majorBidi"/>
      <w:b/>
      <w:kern w:val="0"/>
      <w:sz w:val="22"/>
      <w:szCs w:val="40"/>
    </w:rPr>
  </w:style>
  <w:style w:type="character" w:customStyle="1" w:styleId="Heading2Char">
    <w:name w:val="Heading 2 Char"/>
    <w:basedOn w:val="DefaultParagraphFont"/>
    <w:link w:val="Heading2"/>
    <w:uiPriority w:val="9"/>
    <w:rsid w:val="00350B71"/>
    <w:rPr>
      <w:rFonts w:ascii="Bookman Old Style" w:eastAsiaTheme="majorEastAsia" w:hAnsi="Bookman Old Style" w:cstheme="majorBidi"/>
      <w:b/>
      <w:i/>
      <w:kern w:val="0"/>
      <w:sz w:val="22"/>
      <w:szCs w:val="32"/>
    </w:rPr>
  </w:style>
  <w:style w:type="character" w:customStyle="1" w:styleId="Heading3Char">
    <w:name w:val="Heading 3 Char"/>
    <w:basedOn w:val="DefaultParagraphFont"/>
    <w:link w:val="Heading3"/>
    <w:uiPriority w:val="9"/>
    <w:semiHidden/>
    <w:rsid w:val="00C15CD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CD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15CD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15CD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15CD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15CD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15CDC"/>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C15C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C15CD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15CDC"/>
    <w:pPr>
      <w:spacing w:before="160"/>
      <w:jc w:val="center"/>
    </w:pPr>
    <w:rPr>
      <w:i/>
      <w:iCs/>
      <w:color w:val="404040" w:themeColor="text1" w:themeTint="BF"/>
    </w:rPr>
  </w:style>
  <w:style w:type="character" w:customStyle="1" w:styleId="QuoteChar">
    <w:name w:val="Quote Char"/>
    <w:basedOn w:val="DefaultParagraphFont"/>
    <w:link w:val="Quote"/>
    <w:uiPriority w:val="29"/>
    <w:rsid w:val="00C15CDC"/>
    <w:rPr>
      <w:i/>
      <w:iCs/>
      <w:color w:val="404040" w:themeColor="text1" w:themeTint="BF"/>
    </w:rPr>
  </w:style>
  <w:style w:type="paragraph" w:styleId="ListParagraph">
    <w:name w:val="List Paragraph"/>
    <w:basedOn w:val="Normal"/>
    <w:uiPriority w:val="34"/>
    <w:qFormat/>
    <w:rsid w:val="00C15CDC"/>
    <w:pPr>
      <w:ind w:left="720"/>
      <w:contextualSpacing/>
    </w:pPr>
  </w:style>
  <w:style w:type="character" w:styleId="IntenseEmphasis">
    <w:name w:val="Intense Emphasis"/>
    <w:basedOn w:val="DefaultParagraphFont"/>
    <w:uiPriority w:val="21"/>
    <w:qFormat/>
    <w:rsid w:val="00C15CDC"/>
    <w:rPr>
      <w:i/>
      <w:iCs/>
      <w:color w:val="0F4761" w:themeColor="accent1" w:themeShade="BF"/>
    </w:rPr>
  </w:style>
  <w:style w:type="paragraph" w:styleId="IntenseQuote">
    <w:name w:val="Intense Quote"/>
    <w:basedOn w:val="Normal"/>
    <w:next w:val="Normal"/>
    <w:link w:val="IntenseQuoteChar"/>
    <w:uiPriority w:val="30"/>
    <w:qFormat/>
    <w:rsid w:val="00C15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CDC"/>
    <w:rPr>
      <w:i/>
      <w:iCs/>
      <w:color w:val="0F4761" w:themeColor="accent1" w:themeShade="BF"/>
    </w:rPr>
  </w:style>
  <w:style w:type="character" w:styleId="IntenseReference">
    <w:name w:val="Intense Reference"/>
    <w:basedOn w:val="DefaultParagraphFont"/>
    <w:uiPriority w:val="32"/>
    <w:qFormat/>
    <w:rsid w:val="00C15CDC"/>
    <w:rPr>
      <w:b/>
      <w:bCs/>
      <w:smallCaps/>
      <w:color w:val="0F4761" w:themeColor="accent1" w:themeShade="BF"/>
      <w:spacing w:val="5"/>
    </w:rPr>
  </w:style>
  <w:style w:type="table" w:styleId="TableGrid">
    <w:name w:val="Table Grid"/>
    <w:basedOn w:val="TableNormal"/>
    <w:uiPriority w:val="39"/>
    <w:rsid w:val="00BC70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Abstrak">
    <w:name w:val="Judul Abstrak"/>
    <w:basedOn w:val="Normal"/>
    <w:link w:val="JudulAbstrakChar"/>
    <w:qFormat/>
    <w:rsid w:val="001C53D2"/>
    <w:pPr>
      <w:spacing w:after="0" w:line="240" w:lineRule="auto"/>
    </w:pPr>
    <w:rPr>
      <w:rFonts w:ascii="Bookman Old Style" w:hAnsi="Bookman Old Style"/>
      <w:b/>
      <w:bCs/>
      <w:noProof/>
      <w:sz w:val="20"/>
      <w:szCs w:val="20"/>
    </w:rPr>
  </w:style>
  <w:style w:type="character" w:customStyle="1" w:styleId="JudulAbstrakChar">
    <w:name w:val="Judul Abstrak Char"/>
    <w:basedOn w:val="DefaultParagraphFont"/>
    <w:link w:val="JudulAbstrak"/>
    <w:rsid w:val="001C53D2"/>
    <w:rPr>
      <w:rFonts w:ascii="Bookman Old Style" w:eastAsia="Calibri" w:hAnsi="Bookman Old Style" w:cs="Calibri"/>
      <w:b/>
      <w:bCs/>
      <w:noProof/>
      <w:kern w:val="0"/>
      <w:sz w:val="20"/>
      <w:szCs w:val="20"/>
    </w:rPr>
  </w:style>
  <w:style w:type="paragraph" w:customStyle="1" w:styleId="Abstrak">
    <w:name w:val="Abstrak"/>
    <w:basedOn w:val="Normal"/>
    <w:link w:val="AbstrakChar"/>
    <w:qFormat/>
    <w:rsid w:val="001C53D2"/>
    <w:pPr>
      <w:spacing w:after="0" w:line="240" w:lineRule="auto"/>
      <w:jc w:val="both"/>
    </w:pPr>
    <w:rPr>
      <w:rFonts w:ascii="Bookman Old Style" w:eastAsia="Times New Roman" w:hAnsi="Bookman Old Style" w:cs="Times New Roman"/>
      <w:bCs/>
      <w:i/>
      <w:sz w:val="20"/>
      <w:szCs w:val="20"/>
    </w:rPr>
  </w:style>
  <w:style w:type="character" w:customStyle="1" w:styleId="AbstrakChar">
    <w:name w:val="Abstrak Char"/>
    <w:basedOn w:val="DefaultParagraphFont"/>
    <w:link w:val="Abstrak"/>
    <w:rsid w:val="001C53D2"/>
    <w:rPr>
      <w:rFonts w:ascii="Bookman Old Style" w:eastAsia="Times New Roman" w:hAnsi="Bookman Old Style" w:cs="Times New Roman"/>
      <w:bCs/>
      <w:i/>
      <w:kern w:val="0"/>
      <w:sz w:val="20"/>
      <w:szCs w:val="20"/>
    </w:rPr>
  </w:style>
  <w:style w:type="paragraph" w:customStyle="1" w:styleId="KataKunci">
    <w:name w:val="Kata Kunci"/>
    <w:basedOn w:val="Normal"/>
    <w:link w:val="KataKunciChar"/>
    <w:qFormat/>
    <w:rsid w:val="001C53D2"/>
    <w:pPr>
      <w:spacing w:after="0" w:line="240" w:lineRule="auto"/>
      <w:jc w:val="both"/>
    </w:pPr>
    <w:rPr>
      <w:rFonts w:ascii="Bookman Old Style" w:eastAsia="Times New Roman" w:hAnsi="Bookman Old Style" w:cs="Times New Roman"/>
      <w:b/>
      <w:i/>
      <w:sz w:val="20"/>
      <w:szCs w:val="20"/>
    </w:rPr>
  </w:style>
  <w:style w:type="character" w:customStyle="1" w:styleId="KataKunciChar">
    <w:name w:val="Kata Kunci Char"/>
    <w:basedOn w:val="DefaultParagraphFont"/>
    <w:link w:val="KataKunci"/>
    <w:rsid w:val="001C53D2"/>
    <w:rPr>
      <w:rFonts w:ascii="Bookman Old Style" w:eastAsia="Times New Roman" w:hAnsi="Bookman Old Style" w:cs="Times New Roman"/>
      <w:b/>
      <w:i/>
      <w:kern w:val="0"/>
      <w:sz w:val="20"/>
      <w:szCs w:val="20"/>
    </w:rPr>
  </w:style>
  <w:style w:type="character" w:styleId="Hyperlink">
    <w:name w:val="Hyperlink"/>
    <w:basedOn w:val="DefaultParagraphFont"/>
    <w:uiPriority w:val="99"/>
    <w:unhideWhenUsed/>
    <w:rsid w:val="00855FA7"/>
    <w:rPr>
      <w:color w:val="467886" w:themeColor="hyperlink"/>
      <w:u w:val="single"/>
    </w:rPr>
  </w:style>
  <w:style w:type="character" w:styleId="UnresolvedMention">
    <w:name w:val="Unresolved Mention"/>
    <w:basedOn w:val="DefaultParagraphFont"/>
    <w:uiPriority w:val="99"/>
    <w:semiHidden/>
    <w:unhideWhenUsed/>
    <w:rsid w:val="00855FA7"/>
    <w:rPr>
      <w:color w:val="605E5C"/>
      <w:shd w:val="clear" w:color="auto" w:fill="E1DFDD"/>
    </w:rPr>
  </w:style>
  <w:style w:type="paragraph" w:styleId="NoSpacing">
    <w:name w:val="No Spacing"/>
    <w:uiPriority w:val="1"/>
    <w:qFormat/>
    <w:rsid w:val="00350B71"/>
    <w:pPr>
      <w:spacing w:after="0" w:line="240" w:lineRule="auto"/>
    </w:pPr>
  </w:style>
  <w:style w:type="paragraph" w:customStyle="1" w:styleId="References">
    <w:name w:val="References"/>
    <w:basedOn w:val="Normal"/>
    <w:qFormat/>
    <w:rsid w:val="003243E3"/>
    <w:pPr>
      <w:widowControl/>
      <w:spacing w:after="0" w:line="240" w:lineRule="auto"/>
      <w:ind w:left="720" w:hanging="720"/>
      <w:contextualSpacing/>
      <w:jc w:val="both"/>
    </w:pPr>
    <w:rPr>
      <w:rFonts w:ascii="Times New Roman" w:eastAsia="Times New Roman" w:hAnsi="Times New Roman" w:cs="Times New Roman"/>
      <w:sz w:val="24"/>
      <w:szCs w:val="24"/>
      <w:lang w:val="en-GB" w:eastAsia="en-GB"/>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FootnoteText">
    <w:name w:val="footnote text"/>
    <w:basedOn w:val="Normal"/>
    <w:link w:val="FootnoteTextChar"/>
    <w:uiPriority w:val="99"/>
    <w:unhideWhenUsed/>
    <w:rsid w:val="00656E81"/>
    <w:pPr>
      <w:widowControl/>
      <w:spacing w:after="0" w:line="240" w:lineRule="auto"/>
      <w:ind w:left="397" w:hanging="284"/>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656E81"/>
    <w:rPr>
      <w:rFonts w:cs="Times New Roman"/>
      <w:sz w:val="20"/>
      <w:szCs w:val="20"/>
      <w:lang w:val="en-US" w:eastAsia="en-US"/>
    </w:rPr>
  </w:style>
  <w:style w:type="character" w:styleId="FootnoteReference">
    <w:name w:val="footnote reference"/>
    <w:uiPriority w:val="99"/>
    <w:semiHidden/>
    <w:unhideWhenUsed/>
    <w:rsid w:val="00656E81"/>
    <w:rPr>
      <w:vertAlign w:val="superscript"/>
    </w:rPr>
  </w:style>
  <w:style w:type="paragraph" w:styleId="Header">
    <w:name w:val="header"/>
    <w:basedOn w:val="Normal"/>
    <w:link w:val="HeaderChar"/>
    <w:uiPriority w:val="99"/>
    <w:unhideWhenUsed/>
    <w:rsid w:val="002A3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766"/>
  </w:style>
  <w:style w:type="paragraph" w:styleId="Footer">
    <w:name w:val="footer"/>
    <w:basedOn w:val="Normal"/>
    <w:link w:val="FooterChar"/>
    <w:uiPriority w:val="99"/>
    <w:unhideWhenUsed/>
    <w:rsid w:val="002A3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hristianitytoday.com/edstetzer/2014/ways-technology-enables-mission-of-church.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bc.com/indonesia/vert-fu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cNawHyV6XzxxVIEB9cXeJgGsyA==">CgMxLjAyCGguZ2pkZ3hzOAByITFtRXVEN3hhN2Q2anMtV2ZUZG9fX1FPc2NTTmtPamN0MQ==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4711</Words>
  <Characters>26858</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Soinbala</dc:creator>
  <cp:lastModifiedBy>Sance Mariana</cp:lastModifiedBy>
  <cp:revision>4</cp:revision>
  <dcterms:created xsi:type="dcterms:W3CDTF">2024-11-08T05:51:00Z</dcterms:created>
  <dcterms:modified xsi:type="dcterms:W3CDTF">2024-11-20T10:28:00Z</dcterms:modified>
</cp:coreProperties>
</file>